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STATUTS DE SOCIÉTÉ EN NOM COLLECTIF</w:t>
      </w:r>
    </w:p>
    <w:p>
      <w:pPr>
        <w:pStyle w:val="Intertitre"/>
      </w:pPr>
      <w:r>
        <w:t xml:space="preserve">Constitution de la société</w:t>
      </w:r>
    </w:p>
    <w:p>
      <w:pPr>
        <w:pStyle w:val="Corps"/>
      </w:pPr>
      <w:r>
        <w:t xml:space="preserve">Les soussignés conviennent de constituer entre eux une société commerciale régie par les dispositions applicables à la société en nom collectif, par les présents statuts et par les décisions régulièrement prises pendant la vie sociale.</w:t>
      </w:r>
    </w:p>
    <w:p>
      <w:pPr>
        <w:pStyle w:val="Intertitre"/>
      </w:pPr>
      <w:r>
        <w:t xml:space="preserve">Identification des associés</w:t>
      </w:r>
    </w:p>
    <w:p>
      <w:pPr>
        <w:pStyle w:val="Corps"/>
      </w:pPr>
      <w:r>
        <w:t xml:space="preserve">Les associés fondateurs sont identifiés comme suit : [Identité et qualité des associés]. Pour chaque personne morale, les pouvoirs de son représentant résultent des pièces suivantes : [Pouvoirs des associés personnes morales].</w:t>
      </w:r>
    </w:p>
    <w:p>
      <w:pPr>
        <w:pStyle w:val="Intertitre"/>
      </w:pPr>
      <w:r>
        <w:t xml:space="preserve">Capacité commerciale des associés</w:t>
      </w:r>
    </w:p>
    <w:p>
      <w:pPr>
        <w:pStyle w:val="Corps"/>
      </w:pPr>
      <w:r>
        <w:t xml:space="preserve">Chaque associé justifie de la capacité requise pour acquérir le statut suivant : [Statut légal des associés]. Les contrôles de capacité, d'incompatibilité et d'interdiction reposent sur : [Preuve de la capacité commerciale des associés].</w:t>
      </w:r>
    </w:p>
    <w:p>
      <w:pPr>
        <w:pStyle w:val="Intertitre"/>
      </w:pPr>
      <w:r>
        <w:t xml:space="preserve">Responsabilité des associés</w:t>
      </w:r>
    </w:p>
    <w:p>
      <w:pPr>
        <w:pStyle w:val="Corps"/>
      </w:pPr>
      <w:r>
        <w:t xml:space="preserve">Les associés reconnaissent que la forme sociale emporte le régime suivant : [Régime légal de responsabilité des associés]. Cette stipulation décrit le régime légal sans créer entre eux de limitation opposable aux créanciers.</w:t>
      </w:r>
    </w:p>
    <w:p>
      <w:pPr>
        <w:pStyle w:val="Intertitre"/>
      </w:pPr>
      <w:r>
        <w:t xml:space="preserve">Poursuite subsidiaire des associés</w:t>
      </w:r>
    </w:p>
    <w:p>
      <w:pPr>
        <w:pStyle w:val="Corps"/>
      </w:pPr>
      <w:r>
        <w:t xml:space="preserve">La poursuite personnelle d'un associé par un créancier social est subordonnée à la condition suivante : [Condition légale de poursuite d'un associé]. Le délai applicable après cette démarche est : [Délai réglementaire avant poursuite d'un associé].</w:t>
      </w:r>
    </w:p>
    <w:p>
      <w:pPr>
        <w:pStyle w:val="Intertitre"/>
      </w:pPr>
      <w:r>
        <w:t xml:space="preserve">Forme sociale</w:t>
      </w:r>
    </w:p>
    <w:p>
      <w:pPr>
        <w:pStyle w:val="Corps"/>
      </w:pPr>
      <w:r>
        <w:t xml:space="preserve">La société adopte la forme officielle suivante : [Forme sociale officielle]. Cette forme gouverne la qualité des associés, la gérance, les décisions collectives, la transmission des parts et les événements affectant un associé.</w:t>
      </w:r>
    </w:p>
    <w:p>
      <w:pPr>
        <w:pStyle w:val="Intertitre"/>
      </w:pPr>
      <w:r>
        <w:t xml:space="preserve">Dénomination sociale</w:t>
      </w:r>
    </w:p>
    <w:p>
      <w:pPr>
        <w:pStyle w:val="Corps"/>
      </w:pPr>
      <w:r>
        <w:t xml:space="preserve">La société a pour dénomination : [Dénomination sociale]. Cette dénomination est utilisée avec l'indication de la forme sociale sur les actes, correspondances et documents destinés aux tiers.</w:t>
      </w:r>
    </w:p>
    <w:p>
      <w:pPr>
        <w:pStyle w:val="Intertitre"/>
      </w:pPr>
      <w:r>
        <w:t xml:space="preserve">Objet social</w:t>
      </w:r>
    </w:p>
    <w:p>
      <w:pPr>
        <w:pStyle w:val="Corps"/>
      </w:pPr>
      <w:r>
        <w:t xml:space="preserve">La société a pour objet : [Objet social principal]. Elle peut accomplir les opérations directement rattachées à cet objet, sous réserve qu'elles demeurent compatibles avec la forme sociale et l'intérêt commun des associés.</w:t>
      </w:r>
    </w:p>
    <w:p>
      <w:pPr>
        <w:pStyle w:val="Intertitre"/>
      </w:pPr>
      <w:r>
        <w:t xml:space="preserve">Clause optionnelle : Activité réglementée</w:t>
      </w:r>
    </w:p>
    <w:p>
      <w:pPr>
        <w:pStyle w:val="Corps"/>
      </w:pPr>
      <w:r>
        <w:t xml:space="preserve">Lorsque l'objet comprend une activité réglementée, son exercice est limité au périmètre autorisé suivant : [Activité réglementée]. Les titres, agréments ou inscriptions nécessaires sont établis par : [Autorisation professionnelle].</w:t>
      </w:r>
    </w:p>
    <w:p>
      <w:pPr>
        <w:pStyle w:val="Intertitre"/>
      </w:pPr>
      <w:r>
        <w:t xml:space="preserve">Siège social</w:t>
      </w:r>
    </w:p>
    <w:p>
      <w:pPr>
        <w:pStyle w:val="Corps"/>
      </w:pPr>
      <w:r>
        <w:t xml:space="preserve">Le siège social est fixé à : [Siège social]. La jouissance des locaux résulte de : [Titre d'occupation du siège]. Tout transfert est décidé selon la compétence et la procédure décrites par : [Procédure de transfert du siège social].</w:t>
      </w:r>
    </w:p>
    <w:p>
      <w:pPr>
        <w:pStyle w:val="Intertitre"/>
      </w:pPr>
      <w:r>
        <w:t xml:space="preserve">Durée</w:t>
      </w:r>
    </w:p>
    <w:p>
      <w:pPr>
        <w:pStyle w:val="Corps"/>
      </w:pPr>
      <w:r>
        <w:t xml:space="preserve">La durée choisie par les associés est de [Durée de la société] années à compter de l'immatriculation, sans pouvoir excéder la limite officielle de [Durée légale maximale de la société] années. Toute prorogation intervient avant l'échéance selon une décision régulièrement documentée.</w:t>
      </w:r>
    </w:p>
    <w:p>
      <w:pPr>
        <w:pStyle w:val="Intertitre"/>
      </w:pPr>
      <w:r>
        <w:t xml:space="preserve">Exercice social</w:t>
      </w:r>
    </w:p>
    <w:p>
      <w:pPr>
        <w:pStyle w:val="Corps"/>
      </w:pPr>
      <w:r>
        <w:t xml:space="preserve">L'exercice social commence le [Ouverture de l'exercice social] et se termine le [Clôture de l'exercice social]. Le premier exercice prendra fin le [Clôture du premier exercice], sous réserve de la date effective d'immatriculation.</w:t>
      </w:r>
    </w:p>
    <w:p>
      <w:pPr>
        <w:pStyle w:val="Intertitre"/>
      </w:pPr>
      <w:r>
        <w:t xml:space="preserve">Engagement d'apport</w:t>
      </w:r>
    </w:p>
    <w:p>
      <w:pPr>
        <w:pStyle w:val="Corps"/>
      </w:pPr>
      <w:r>
        <w:t xml:space="preserve">Chaque associé s'engage à réaliser l'apport décrit dans les présents statuts et dans les annexes correspondantes. Les apports, leur valeur et les droits attribués sont rapprochés dans : [Rapprochement des apports et des droits attribués].</w:t>
      </w:r>
    </w:p>
    <w:p>
      <w:pPr>
        <w:pStyle w:val="Intertitre"/>
      </w:pPr>
      <w:r>
        <w:t xml:space="preserve"> — choisir une seule variante</w:t>
      </w:r>
    </w:p>
    <w:p>
      <w:pPr>
        <w:pStyle w:val="Variante"/>
      </w:pPr>
      <w:r>
        <w:t xml:space="preserve">Variante : Structure composée d'apports en numéraire</w:t>
      </w:r>
    </w:p>
    <w:p>
      <w:pPr>
        <w:pStyle w:val="Corps"/>
      </w:pPr>
      <w:r>
        <w:t xml:space="preserve">Le capital est constitué par les seuls apports en numéraire décrits dans les statuts. Leur origine, leur disponibilité, leur versement et l'attribution corrélative des parts sont vérifiés dans le dossier constitutif.</w:t>
      </w:r>
    </w:p>
    <w:p>
      <w:pPr>
        <w:pStyle w:val="Variante"/>
      </w:pPr>
      <w:r>
        <w:t xml:space="preserve">Variante : Structure comprenant des apports en nature</w:t>
      </w:r>
    </w:p>
    <w:p>
      <w:pPr>
        <w:pStyle w:val="Corps"/>
      </w:pPr>
      <w:r>
        <w:t xml:space="preserve">Le capital comprend des apports en numéraire et en nature. Chaque bien apporté est individualisé, évalué, transmis avec ses charges connues et rapproché des parts attribuées à l'apporteur.</w:t>
      </w:r>
    </w:p>
    <w:p>
      <w:pPr>
        <w:pStyle w:val="Variante"/>
      </w:pPr>
      <w:r>
        <w:t xml:space="preserve">Variante : Apports exclusivement en nature</w:t>
      </w:r>
    </w:p>
    <w:p>
      <w:pPr>
        <w:pStyle w:val="Corps"/>
      </w:pPr>
      <w:r>
        <w:t xml:space="preserve">Le capital est constitué exclusivement d’apports en nature. Chaque bien est individualisé, évalué, transféré avec ses charges connues et rapproché des parts attribuées à l’apporteur ; aucun apport en numéraire n’est souscrit à la constitution.</w:t>
      </w:r>
    </w:p>
    <w:p>
      <w:pPr>
        <w:pStyle w:val="Variante"/>
      </w:pPr>
      <w:r>
        <w:t xml:space="preserve">Variante : Structure comprenant un apport en industrie</w:t>
      </w:r>
    </w:p>
    <w:p>
      <w:pPr>
        <w:pStyle w:val="Corps"/>
      </w:pPr>
      <w:r>
        <w:t xml:space="preserve">La constitution combine les apports formant le capital et un apport en industrie qui n'entre pas dans le capital. Les droits, obligations et modalités d'exécution propres à cet apport sont décrits séparément.</w:t>
      </w:r>
    </w:p>
    <w:p>
      <w:pPr>
        <w:pStyle w:val="Intertitre"/>
      </w:pPr>
      <w:r>
        <w:t xml:space="preserve">Clause optionnelle : Apports en numéraire</w:t>
      </w:r>
    </w:p>
    <w:p>
      <w:pPr>
        <w:pStyle w:val="Corps"/>
      </w:pPr>
      <w:r>
        <w:t xml:space="preserve">Les associés apportent en numéraire la somme totale de [Total des apports en numéraire]. La répartition entre apporteurs, les versements effectués et les parts reçues figurent dans : [Tableau des souscriptions en numéraire].</w:t>
      </w:r>
    </w:p>
    <w:p>
      <w:pPr>
        <w:pStyle w:val="Intertitre"/>
      </w:pPr>
      <w:r>
        <w:t xml:space="preserve">Clause optionnelle : Versement des apports en numéraire</w:t>
      </w:r>
    </w:p>
    <w:p>
      <w:pPr>
        <w:pStyle w:val="Corps"/>
      </w:pPr>
      <w:r>
        <w:t xml:space="preserve">À la constitution, la somme de [Numéraire libéré à la constitution] a été versée selon les justificatifs suivants : [Modalités de dépôt des apports en numéraire]. Le solde de [Solde du numéraire à libérer] est exigible suivant : [Modalités d'appel du solde des apports en numéraire].</w:t>
      </w:r>
    </w:p>
    <w:p>
      <w:pPr>
        <w:pStyle w:val="Intertitre"/>
      </w:pPr>
      <w:r>
        <w:t xml:space="preserve">Clause optionnelle : Apports en nature</w:t>
      </w:r>
    </w:p>
    <w:p>
      <w:pPr>
        <w:pStyle w:val="Corps"/>
      </w:pPr>
      <w:r>
        <w:t xml:space="preserve">L'apporteur [Identité de l'apporteur en nature] transfère à la société le bien suivant : [Description des apports en nature], retenu pour une valeur de [Valeur des apports en nature]. Les titres et modalités de transfert sont décrits par : [Justificatifs du transfert de l'apport en nature].</w:t>
      </w:r>
    </w:p>
    <w:p>
      <w:pPr>
        <w:pStyle w:val="Intertitre"/>
      </w:pPr>
      <w:r>
        <w:t xml:space="preserve">Clause optionnelle : Charges affectant les apports en nature</w:t>
      </w:r>
    </w:p>
    <w:p>
      <w:pPr>
        <w:pStyle w:val="Corps"/>
      </w:pPr>
      <w:r>
        <w:t xml:space="preserve">Les sûretés, droits de tiers, restrictions, contrats et autres charges affectant le bien apporté sont recensés dans : [Charges grevant l'apport en nature]. Leur traitement est accepté selon : [Traitement des charges grevant l'apport en nature].</w:t>
      </w:r>
    </w:p>
    <w:p>
      <w:pPr>
        <w:pStyle w:val="Intertitre"/>
      </w:pPr>
      <w:r>
        <w:t xml:space="preserve">Clause optionnelle : Évaluation des apports en nature</w:t>
      </w:r>
    </w:p>
    <w:p>
      <w:pPr>
        <w:pStyle w:val="Corps"/>
      </w:pPr>
      <w:r>
        <w:t xml:space="preserve">La méthode, les données et les vérifications utilisées pour retenir la valeur de l'apport en nature sont consignées dans : [Justificatifs de valorisation de l'apport en nature]. Les associés assument le choix de la valeur après examen des pièces disponibles.</w:t>
      </w:r>
    </w:p>
    <w:p>
      <w:pPr>
        <w:pStyle w:val="Intertitre"/>
      </w:pPr>
      <w:r>
        <w:t xml:space="preserve">Clause optionnelle : Apport en industrie</w:t>
      </w:r>
    </w:p>
    <w:p>
      <w:pPr>
        <w:pStyle w:val="Corps"/>
      </w:pPr>
      <w:r>
        <w:t xml:space="preserve">L'associé [Apporteur en industrie] apporte à la société l'activité, les compétences ou services suivants : [Description de l'apport en industrie]. Les conditions d'exécution sont précisées par : [Modalités d'exécution de l'apport en industrie].</w:t>
      </w:r>
    </w:p>
    <w:p>
      <w:pPr>
        <w:pStyle w:val="Intertitre"/>
      </w:pPr>
      <w:r>
        <w:t xml:space="preserve">Clause optionnelle : Droits attachés à l'apport en industrie</w:t>
      </w:r>
    </w:p>
    <w:p>
      <w:pPr>
        <w:pStyle w:val="Corps"/>
      </w:pPr>
      <w:r>
        <w:t xml:space="preserve">L'apport en industrie ouvre droit à [Parts d'industrie] parts d'industrie et à la répartition décrite dans : [Droits aux bénéfices et contribution aux pertes de l'apporteur en industrie]. Ces droits ne représentent aucune fraction du capital et cessent selon : [Conditions de cessation de l'apport en industrie].</w:t>
      </w:r>
    </w:p>
    <w:p>
      <w:pPr>
        <w:pStyle w:val="Intertitre"/>
      </w:pPr>
      <w:r>
        <w:t xml:space="preserve">Clause optionnelle : Emploi de biens communs</w:t>
      </w:r>
    </w:p>
    <w:p>
      <w:pPr>
        <w:pStyle w:val="Corps"/>
      </w:pPr>
      <w:r>
        <w:t xml:space="preserve">L'associé [Époux apporteur de biens communs] déclare employer des biens communs selon : [Description des biens communs employés]. L'information préalable du conjoint est établie par : [Preuve d'information du conjoint].</w:t>
      </w:r>
    </w:p>
    <w:p>
      <w:pPr>
        <w:pStyle w:val="Intertitre"/>
      </w:pPr>
      <w:r>
        <w:t xml:space="preserve">Clause optionnelle : Revendication de la qualité d'associé par le conjoint</w:t>
      </w:r>
    </w:p>
    <w:p>
      <w:pPr>
        <w:pStyle w:val="Corps"/>
      </w:pPr>
      <w:r>
        <w:t xml:space="preserve">Lorsque des biens communs sont employés, le conjoint [Conjoint informé] revendique la qualité d'associé pour [Parts revendiquées par le conjoint] parts. La notification, la date et les modalités d'agrément sont établies par : [Procédure de revendication de la qualité d'associé par le conjoint]. Sa capacité commerciale et l’absence d’incompatibilité sont établies par : [Capacité commerciale du conjoint].</w:t>
      </w:r>
    </w:p>
    <w:p>
      <w:pPr>
        <w:pStyle w:val="Intertitre"/>
      </w:pPr>
      <w:r>
        <w:t xml:space="preserve">Capital social</w:t>
      </w:r>
    </w:p>
    <w:p>
      <w:pPr>
        <w:pStyle w:val="Corps"/>
      </w:pPr>
      <w:r>
        <w:t xml:space="preserve">Le capital social est fixé à [Capital social]. Il est divisé en [Nombre de parts sociales] parts sociales de [Valeur nominale d'une part] chacune, intégralement souscrites et attribuées selon les présents statuts.</w:t>
      </w:r>
    </w:p>
    <w:p>
      <w:pPr>
        <w:pStyle w:val="Intertitre"/>
      </w:pPr>
      <w:r>
        <w:t xml:space="preserve">Répartition des parts sociales</w:t>
      </w:r>
    </w:p>
    <w:p>
      <w:pPr>
        <w:pStyle w:val="Corps"/>
      </w:pPr>
      <w:r>
        <w:t xml:space="preserve">Les parts sociales sont réparties entre les associés conformément au tableau suivant : [Répartition des parts sociales]. La concordance entre apports, capital, nombre de parts et valeur nominale est démontrée par : [Rapprochement du capital].</w:t>
      </w:r>
    </w:p>
    <w:p>
      <w:pPr>
        <w:pStyle w:val="Intertitre"/>
      </w:pPr>
      <w:r>
        <w:t xml:space="preserve">Indivisibilité des parts</w:t>
      </w:r>
    </w:p>
    <w:p>
      <w:pPr>
        <w:pStyle w:val="Corps"/>
      </w:pPr>
      <w:r>
        <w:t xml:space="preserve">La société ne reconnaît qu'un titulaire ou représentant commun pour chaque part indivise. Les indivisaires organisent leur représentation selon : [Représentation des parts indivises] sans modifier les engagements attachés à la qualité d'associé.</w:t>
      </w:r>
    </w:p>
    <w:p>
      <w:pPr>
        <w:pStyle w:val="Intertitre"/>
      </w:pPr>
      <w:r>
        <w:t xml:space="preserve">Participation aux résultats et aux pertes</w:t>
      </w:r>
    </w:p>
    <w:p>
      <w:pPr>
        <w:pStyle w:val="Corps"/>
      </w:pPr>
      <w:r>
        <w:t xml:space="preserve">Les bénéfices distribuables, économies et pertes sont répartis selon : [Répartition des bénéfices et des pertes]. Cette répartition respecte la contribution convenue et ne prive aucun associé de tout droit au bénéfice ni de toute contribution aux pertes.</w:t>
      </w:r>
    </w:p>
    <w:p>
      <w:pPr>
        <w:pStyle w:val="Intertitre"/>
      </w:pPr>
      <w:r>
        <w:t xml:space="preserve">Clause optionnelle : Comptes courants d'associés</w:t>
      </w:r>
    </w:p>
    <w:p>
      <w:pPr>
        <w:pStyle w:val="Corps"/>
      </w:pPr>
      <w:r>
        <w:t xml:space="preserve">Les avances laissées à la disposition de la société par les associés sont inscrites en compte courant selon : [Conditions des comptes courants]. Ces modalités précisent notamment les conditions de versement, de rémunération éventuelle, de remboursement et de blocage, sans constituer des apports au capital.</w:t>
      </w:r>
    </w:p>
    <w:p>
      <w:pPr>
        <w:pStyle w:val="Intertitre"/>
      </w:pPr>
      <w:r>
        <w:t xml:space="preserve">Principe légal de gérance</w:t>
      </w:r>
    </w:p>
    <w:p>
      <w:pPr>
        <w:pStyle w:val="Corps"/>
      </w:pPr>
      <w:r>
        <w:t xml:space="preserve">La structure de gérance est arrêtée après prise en compte de la règle officielle suivante : [Règle légale de gérance par défaut]. La branche sélectionnée ci-après identifie les gérants et fixe leurs conditions d'exercice.</w:t>
      </w:r>
    </w:p>
    <w:p>
      <w:pPr>
        <w:pStyle w:val="Intertitre"/>
      </w:pPr>
      <w:r>
        <w:t xml:space="preserve"> — choisir une seule variante</w:t>
      </w:r>
    </w:p>
    <w:p>
      <w:pPr>
        <w:pStyle w:val="Variante"/>
      </w:pPr>
      <w:r>
        <w:t xml:space="preserve">Variante : Gérance exercée par tous les associés</w:t>
      </w:r>
    </w:p>
    <w:p>
      <w:pPr>
        <w:pStyle w:val="Corps"/>
      </w:pPr>
      <w:r>
        <w:t xml:space="preserve">Tous les associés exercent la gérance en cette qualité. Leur identité et leur acceptation résultent de : [Choix de la structure de gérance]. Chacun est soumis aux pouvoirs, obligations et responsabilités définis par les statuts.</w:t>
      </w:r>
    </w:p>
    <w:p>
      <w:pPr>
        <w:pStyle w:val="Variante"/>
      </w:pPr>
      <w:r>
        <w:t xml:space="preserve">Variante : Gérant associé désigné dans les statuts</w:t>
      </w:r>
    </w:p>
    <w:p>
      <w:pPr>
        <w:pStyle w:val="Corps"/>
      </w:pPr>
      <w:r>
        <w:t xml:space="preserve">L'associé [Identité du gérant] est nommé gérant par les présents statuts. Sa qualité d'associé, sa capacité et, s'il s'agit d'une personne morale, les pouvoirs de son représentant sont établis par : [Qualité du gérant].</w:t>
      </w:r>
    </w:p>
    <w:p>
      <w:pPr>
        <w:pStyle w:val="Variante"/>
      </w:pPr>
      <w:r>
        <w:t xml:space="preserve">Variante : Gérant non associé désigné dans les statuts</w:t>
      </w:r>
    </w:p>
    <w:p>
      <w:pPr>
        <w:pStyle w:val="Corps"/>
      </w:pPr>
      <w:r>
        <w:t xml:space="preserve">La personne [Identité du gérant] est nommée gérant sans acquérir la qualité d'associé. Sa capacité, son identité et l'absence d'incompatibilité sont établies par : [Qualité du gérant].</w:t>
      </w:r>
    </w:p>
    <w:p>
      <w:pPr>
        <w:pStyle w:val="Variante"/>
      </w:pPr>
      <w:r>
        <w:t xml:space="preserve">Variante : Gérant désigné par acte ultérieur</w:t>
      </w:r>
    </w:p>
    <w:p>
      <w:pPr>
        <w:pStyle w:val="Corps"/>
      </w:pPr>
      <w:r>
        <w:t xml:space="preserve">La Gérance sera confiée par une décision ultérieure des associés suivant [Procédure de nomination ultérieure du gérant]. Jusqu’à cette décision, tous les associés exercent la Gérance conformément à la règle officielle suivante : [Règle légale de gérance par défaut]. La décision ultérieure identifie le Gérant, vérifie sa capacité et ses pouvoirs, recueille son acceptation et fixe la date d’effet de ses fonctions.</w:t>
      </w:r>
    </w:p>
    <w:p>
      <w:pPr>
        <w:pStyle w:val="Intertitre"/>
      </w:pPr>
      <w:r>
        <w:t xml:space="preserve"> — choisir une seule variante</w:t>
      </w:r>
    </w:p>
    <w:p>
      <w:pPr>
        <w:pStyle w:val="Variante"/>
      </w:pPr>
      <w:r>
        <w:t xml:space="preserve">Variante : Gérant personne physique</w:t>
      </w:r>
    </w:p>
    <w:p>
      <w:pPr>
        <w:pStyle w:val="Corps"/>
      </w:pPr>
      <w:r>
        <w:t xml:space="preserve">La gérance est confiée à une ou plusieurs personnes physiques. Leur identité, leur capacité d'exercice, les incompatibilités éventuelles et leurs pouvoirs sont contrôlés selon : [Contrôle du gérant personne physique].</w:t>
      </w:r>
    </w:p>
    <w:p>
      <w:pPr>
        <w:pStyle w:val="Variante"/>
      </w:pPr>
      <w:r>
        <w:t xml:space="preserve">Variante : Gérant personne morale</w:t>
      </w:r>
    </w:p>
    <w:p>
      <w:pPr>
        <w:pStyle w:val="Corps"/>
      </w:pPr>
      <w:r>
        <w:t xml:space="preserve">La gérance peut être confiée à une personne morale, identifiée par la décision de nomination. Les conditions, obligations et responsabilités applicables à ses dirigeants sont contrôlées selon : [Contrôle du gérant personne morale et de ses dirigeants] ; cette organisation ne réduit pas la responsabilité propre de la personne morale gérante.</w:t>
      </w:r>
    </w:p>
    <w:p>
      <w:pPr>
        <w:pStyle w:val="Variante"/>
      </w:pPr>
      <w:r>
        <w:t xml:space="preserve">Variante : Gérance mixte de personnes physiques et morales</w:t>
      </w:r>
    </w:p>
    <w:p>
      <w:pPr>
        <w:pStyle w:val="Corps"/>
      </w:pPr>
      <w:r>
        <w:t xml:space="preserve">La Gérance réunit les personnes physiques et morales identifiées dans [Choix de la structure de gérance]. Pour chaque Gérant personne physique sont contrôlées la capacité et les incompatibilités ; pour chaque Gérant personne morale sont contrôlés l’existence, les pouvoirs et l’identité du représentant permanent. Chacun accepte sa fonction et demeure soumis aux obligations et responsabilités applicables.</w:t>
      </w:r>
    </w:p>
    <w:p>
      <w:pPr>
        <w:pStyle w:val="Intertitre"/>
      </w:pPr>
      <w:r>
        <w:t xml:space="preserve">Clause optionnelle : Acceptation des fonctions</w:t>
      </w:r>
    </w:p>
    <w:p>
      <w:pPr>
        <w:pStyle w:val="Corps"/>
      </w:pPr>
      <w:r>
        <w:t xml:space="preserve">Le ou les gérants désignés à la constitution acceptent leurs fonctions selon la déclaration suivante : [Acceptation des fonctions de gérant]. Ils confirment avoir reçu les statuts, connaître l'objet social et disposer des informations nécessaires à l'exercice de leur mandat.</w:t>
      </w:r>
    </w:p>
    <w:p>
      <w:pPr>
        <w:pStyle w:val="Intertitre"/>
      </w:pPr>
      <w:r>
        <w:t xml:space="preserve">Durée des fonctions</w:t>
      </w:r>
    </w:p>
    <w:p>
      <w:pPr>
        <w:pStyle w:val="Corps"/>
      </w:pPr>
      <w:r>
        <w:t xml:space="preserve">Les fonctions du ou des gérants sont exercées pendant la durée suivante : [Durée des fonctions du gérant]. Leur cessation, leur renouvellement et les mesures de continuité de la représentation sont traités selon : [Procédure de cessation et de remplacement du gérant].</w:t>
      </w:r>
    </w:p>
    <w:p>
      <w:pPr>
        <w:pStyle w:val="Intertitre"/>
      </w:pPr>
      <w:r>
        <w:t xml:space="preserve">Clause optionnelle : Rémunération de la gérance</w:t>
      </w:r>
    </w:p>
    <w:p>
      <w:pPr>
        <w:pStyle w:val="Corps"/>
      </w:pPr>
      <w:r>
        <w:t xml:space="preserve">La gérance ouvre droit à la rémunération et au remboursement de frais définis par : [Rémunération du gérant]. Toute décision ultérieure est prise par l'organe compétent et conservée avec les pièces justificatives.</w:t>
      </w:r>
    </w:p>
    <w:p>
      <w:pPr>
        <w:pStyle w:val="Intertitre"/>
      </w:pPr>
      <w:r>
        <w:t xml:space="preserve">Clause optionnelle : Absence de rémunération statutaire</w:t>
      </w:r>
    </w:p>
    <w:p>
      <w:pPr>
        <w:pStyle w:val="Corps"/>
      </w:pPr>
      <w:r>
        <w:t xml:space="preserve">Les présents statuts n'accordent aucune rémunération à la gérance. Les frais engagés dans l'intérêt social ne peuvent être remboursés que sur justificatifs et selon une décision régulièrement prise.</w:t>
      </w:r>
    </w:p>
    <w:p>
      <w:pPr>
        <w:pStyle w:val="Intertitre"/>
      </w:pPr>
      <w:r>
        <w:t xml:space="preserve">Pouvoirs du gérant entre associés</w:t>
      </w:r>
    </w:p>
    <w:p>
      <w:pPr>
        <w:pStyle w:val="Corps"/>
      </w:pPr>
      <w:r>
        <w:t xml:space="preserve">Dans les rapports entre associés, le gérant accomplit les actes de gestion nécessaires à l'intérêt social. Les aménagements internes expressément retenus figurent dans : [Limites internes aux pouvoirs du gérant].</w:t>
      </w:r>
    </w:p>
    <w:p>
      <w:pPr>
        <w:pStyle w:val="Intertitre"/>
      </w:pPr>
      <w:r>
        <w:t xml:space="preserve">Pouvoirs du gérant à l'égard des tiers</w:t>
      </w:r>
    </w:p>
    <w:p>
      <w:pPr>
        <w:pStyle w:val="Corps"/>
      </w:pPr>
      <w:r>
        <w:t xml:space="preserve">Dans les rapports avec les tiers, le gérant engage la société par les actes entrant dans l'objet social. Les limitations internes ne sont pas présentées comme opposables aux tiers.</w:t>
      </w:r>
    </w:p>
    <w:p>
      <w:pPr>
        <w:pStyle w:val="Intertitre"/>
      </w:pPr>
      <w:r>
        <w:t xml:space="preserve">Clause optionnelle : Pluralité de gérants</w:t>
      </w:r>
    </w:p>
    <w:p>
      <w:pPr>
        <w:pStyle w:val="Corps"/>
      </w:pPr>
      <w:r>
        <w:t xml:space="preserve">Lorsque plusieurs gérants sont en fonction, chacun exerce séparément les pouvoirs de gestion. La répartition opérationnelle choisie entre eux est décrite par : [Coordination entre les cogérants].</w:t>
      </w:r>
    </w:p>
    <w:p>
      <w:pPr>
        <w:pStyle w:val="Intertitre"/>
      </w:pPr>
      <w:r>
        <w:t xml:space="preserve">Clause optionnelle : Opposition entre cogérants</w:t>
      </w:r>
    </w:p>
    <w:p>
      <w:pPr>
        <w:pStyle w:val="Corps"/>
      </w:pPr>
      <w:r>
        <w:t xml:space="preserve">Un gérant peut former opposition à une opération avant sa conclusion. La notification, la réception, l'instruction et les suites de cette opposition sont organisées par : [Procédure d'opposition entre cogérants].</w:t>
      </w:r>
    </w:p>
    <w:p>
      <w:pPr>
        <w:pStyle w:val="Intertitre"/>
      </w:pPr>
      <w:r>
        <w:t xml:space="preserve">Décisions réservées aux associés</w:t>
      </w:r>
    </w:p>
    <w:p>
      <w:pPr>
        <w:pStyle w:val="Corps"/>
      </w:pPr>
      <w:r>
        <w:t xml:space="preserve">Les opérations suivantes excèdent les pouvoirs de gestion ou exigent une décision des associés : [Décisions réservées aux associés]. Cette répartition interne ne modifie pas l'étendue des pouvoirs opposables aux tiers.</w:t>
      </w:r>
    </w:p>
    <w:p>
      <w:pPr>
        <w:pStyle w:val="Intertitre"/>
      </w:pPr>
      <w:r>
        <w:t xml:space="preserve">Clause optionnelle : Délégations de pouvoirs</w:t>
      </w:r>
    </w:p>
    <w:p>
      <w:pPr>
        <w:pStyle w:val="Corps"/>
      </w:pPr>
      <w:r>
        <w:t xml:space="preserve">Le gérant peut déléguer une partie déterminée de ses pouvoirs conformément à : [Délégations consenties par le gérant]. Chaque délégation identifie son bénéficiaire, son périmètre, sa durée, ses contrôles et sa révocation.</w:t>
      </w:r>
    </w:p>
    <w:p>
      <w:pPr>
        <w:pStyle w:val="Intertitre"/>
      </w:pPr>
      <w:r>
        <w:t xml:space="preserve">Conflits d'intérêts</w:t>
      </w:r>
    </w:p>
    <w:p>
      <w:pPr>
        <w:pStyle w:val="Corps"/>
      </w:pPr>
      <w:r>
        <w:t xml:space="preserve">Le gérant déclare sans délai toute situation dans laquelle son intérêt personnel ou celui d'une personne liée peut diverger de l'intérêt social. La procédure de traitement est : [Traitement des conflits d'intérêts].</w:t>
      </w:r>
    </w:p>
    <w:p>
      <w:pPr>
        <w:pStyle w:val="Intertitre"/>
      </w:pPr>
      <w:r>
        <w:t xml:space="preserve">Information des associés par la gérance</w:t>
      </w:r>
    </w:p>
    <w:p>
      <w:pPr>
        <w:pStyle w:val="Corps"/>
      </w:pPr>
      <w:r>
        <w:t xml:space="preserve">La gérance rend compte de l'activité, des engagements significatifs, de la trésorerie et des risques selon : [Compte rendu de la gérance]. Cette information complète, lorsqu'ils existent, les droits propres des associés non gérants.</w:t>
      </w:r>
    </w:p>
    <w:p>
      <w:pPr>
        <w:pStyle w:val="Intertitre"/>
      </w:pPr>
      <w:r>
        <w:t xml:space="preserve"> — choisir une seule variante</w:t>
      </w:r>
    </w:p>
    <w:p>
      <w:pPr>
        <w:pStyle w:val="Variante"/>
      </w:pPr>
      <w:r>
        <w:t xml:space="preserve">Variante : Révocation d'un gérant associé statutaire</w:t>
      </w:r>
    </w:p>
    <w:p>
      <w:pPr>
        <w:pStyle w:val="Corps"/>
      </w:pPr>
      <w:r>
        <w:t xml:space="preserve">La révocation d'un gérant associé désigné dans les statuts ou appartenant à une gérance exercée par tous les associés suit la règle suivante : [Règle de révocation du gérant]. Ses effets sur la continuation de la société et sur le retrait éventuel sont contrôlés séparément.</w:t>
      </w:r>
    </w:p>
    <w:p>
      <w:pPr>
        <w:pStyle w:val="Variante"/>
      </w:pPr>
      <w:r>
        <w:t xml:space="preserve">Variante : Révocation d'un gérant associé non statutaire</w:t>
      </w:r>
    </w:p>
    <w:p>
      <w:pPr>
        <w:pStyle w:val="Corps"/>
      </w:pPr>
      <w:r>
        <w:t xml:space="preserve">La révocation du gérant associé qui n'est pas désigné dans les statuts intervient suivant : [Règle de révocation du gérant]. La décision consigne son auteur, son assiette, les voix exprimées et les abstentions applicables.</w:t>
      </w:r>
    </w:p>
    <w:p>
      <w:pPr>
        <w:pStyle w:val="Variante"/>
      </w:pPr>
      <w:r>
        <w:t xml:space="preserve">Variante : Révocation d'un gérant non associé</w:t>
      </w:r>
    </w:p>
    <w:p>
      <w:pPr>
        <w:pStyle w:val="Corps"/>
      </w:pPr>
      <w:r>
        <w:t xml:space="preserve">La révocation du gérant non associé est décidée suivant : [Règle de révocation du gérant]. Les statuts, la décision de nomination et les conditions de majorité applicables sont rapprochés avant toute notification.</w:t>
      </w:r>
    </w:p>
    <w:p>
      <w:pPr>
        <w:pStyle w:val="Intertitre"/>
      </w:pPr>
      <w:r>
        <w:t xml:space="preserve">Garanties entourant la révocation</w:t>
      </w:r>
    </w:p>
    <w:p>
      <w:pPr>
        <w:pStyle w:val="Corps"/>
      </w:pPr>
      <w:r>
        <w:t xml:space="preserve">Toute révocation est instruite dans le respect des garanties suivantes : [Garanties entourant la révocation du gérant]. Une révocation dépourvue de juste motif peut ouvrir droit à réparation dans les conditions applicables.</w:t>
      </w:r>
    </w:p>
    <w:p>
      <w:pPr>
        <w:pStyle w:val="Intertitre"/>
      </w:pPr>
      <w:r>
        <w:t xml:space="preserve">Clause optionnelle : Retrait du gérant associé révoqué</w:t>
      </w:r>
    </w:p>
    <w:p>
      <w:pPr>
        <w:pStyle w:val="Corps"/>
      </w:pPr>
      <w:r>
        <w:t xml:space="preserve">Lorsque le régime applicable ouvre au gérant associé révoqué la faculté de se retirer, sa décision et le remboursement de ses droits sont organisés par : [Retrait du gérant associé révoqué].</w:t>
      </w:r>
    </w:p>
    <w:p>
      <w:pPr>
        <w:pStyle w:val="Intertitre"/>
      </w:pPr>
      <w:r>
        <w:t xml:space="preserve"> — choisir une seule variante</w:t>
      </w:r>
    </w:p>
    <w:p>
      <w:pPr>
        <w:pStyle w:val="Variante"/>
      </w:pPr>
      <w:r>
        <w:t xml:space="preserve">Variante : Décisions prises à l'unanimité</w:t>
      </w:r>
    </w:p>
    <w:p>
      <w:pPr>
        <w:pStyle w:val="Corps"/>
      </w:pPr>
      <w:r>
        <w:t xml:space="preserve">Les décisions qui excèdent les pouvoirs reconnus aux gérants sont prises à l'unanimité, conformément à la règle officielle suivante : [Règle légale de décision par défaut]. Les statuts ne substituent aucune majorité particulière à cette règle dans cette branche.</w:t>
      </w:r>
    </w:p>
    <w:p>
      <w:pPr>
        <w:pStyle w:val="Variante"/>
      </w:pPr>
      <w:r>
        <w:t xml:space="preserve">Variante : Décisions soumises à des majorités statutaires</w:t>
      </w:r>
    </w:p>
    <w:p>
      <w:pPr>
        <w:pStyle w:val="Corps"/>
      </w:pPr>
      <w:r>
        <w:t xml:space="preserve">Certaines décisions identifiées sont prises selon les majorités suivantes : [Majorités statutaires par catégorie de décision]. Toute décision non expressément visée conserve la règle officielle de [Règle légale de décision par défaut].</w:t>
      </w:r>
    </w:p>
    <w:p>
      <w:pPr>
        <w:pStyle w:val="Intertitre"/>
      </w:pPr>
      <w:r>
        <w:t xml:space="preserve">Participation des associés</w:t>
      </w:r>
    </w:p>
    <w:p>
      <w:pPr>
        <w:pStyle w:val="Corps"/>
      </w:pPr>
      <w:r>
        <w:t xml:space="preserve">Chaque associé participe aux décisions collectives selon les droits attachés à ses parts et la nature de la décision. Les règles d'assiette, de représentation et de décompte sont décrites par : [Modalités de participation des associés].</w:t>
      </w:r>
    </w:p>
    <w:p>
      <w:pPr>
        <w:pStyle w:val="Intertitre"/>
      </w:pPr>
      <w:r>
        <w:t xml:space="preserve">Convocation des associés</w:t>
      </w:r>
    </w:p>
    <w:p>
      <w:pPr>
        <w:pStyle w:val="Corps"/>
      </w:pPr>
      <w:r>
        <w:t xml:space="preserve">Les associés sont convoqués selon : [Mode de convocation des associés]. La convocation identifie son auteur, la date, le lieu ou le moyen de participation, l'ordre du jour et les documents nécessaires au vote.</w:t>
      </w:r>
    </w:p>
    <w:p>
      <w:pPr>
        <w:pStyle w:val="Intertitre"/>
      </w:pPr>
      <w:r>
        <w:t xml:space="preserve">Ordre du jour</w:t>
      </w:r>
    </w:p>
    <w:p>
      <w:pPr>
        <w:pStyle w:val="Corps"/>
      </w:pPr>
      <w:r>
        <w:t xml:space="preserve">Les décisions ne sont soumises aux associés qu'après communication d'un ordre du jour suffisamment précis, établi et modifié selon : [Établissement de l'ordre du jour des décisions collectives]. Les projets de résolutions et leurs pièces sont joints selon la procédure applicable.</w:t>
      </w:r>
    </w:p>
    <w:p>
      <w:pPr>
        <w:pStyle w:val="Intertitre"/>
      </w:pPr>
      <w:r>
        <w:t xml:space="preserve">Représentation d'un associé</w:t>
      </w:r>
    </w:p>
    <w:p>
      <w:pPr>
        <w:pStyle w:val="Corps"/>
      </w:pPr>
      <w:r>
        <w:t xml:space="preserve">Lorsqu'une représentation est admise, le mandat identifie le mandant, le mandataire, la réunion et les instructions éventuelles selon : [Règles de représentation aux réunions]. Le pouvoir est conservé avec le procès-verbal.</w:t>
      </w:r>
    </w:p>
    <w:p>
      <w:pPr>
        <w:pStyle w:val="Intertitre"/>
      </w:pPr>
      <w:r>
        <w:t xml:space="preserve">Clause optionnelle : Consultation écrite</w:t>
      </w:r>
    </w:p>
    <w:p>
      <w:pPr>
        <w:pStyle w:val="Corps"/>
      </w:pPr>
      <w:r>
        <w:t xml:space="preserve">Une décision peut être soumise par consultation écrite selon : [Procédure de consultation écrite], à condition qu'aucun associé ne demande la réunion d'une assemblée dans les conditions prévues.</w:t>
      </w:r>
    </w:p>
    <w:p>
      <w:pPr>
        <w:pStyle w:val="Intertitre"/>
      </w:pPr>
      <w:r>
        <w:t xml:space="preserve">Clause optionnelle : Consultation par voie électronique</w:t>
      </w:r>
    </w:p>
    <w:p>
      <w:pPr>
        <w:pStyle w:val="Corps"/>
      </w:pPr>
      <w:r>
        <w:t xml:space="preserve">La consultation écrite peut utiliser le dispositif électronique suivant : [Système de consultation électronique]. Le système garantit l'identification, l'intégrité des réponses, leur date et leur conservation.</w:t>
      </w:r>
    </w:p>
    <w:p>
      <w:pPr>
        <w:pStyle w:val="Intertitre"/>
      </w:pPr>
      <w:r>
        <w:t xml:space="preserve">Clause optionnelle : Demande de réunion d'une assemblée</w:t>
      </w:r>
    </w:p>
    <w:p>
      <w:pPr>
        <w:pStyle w:val="Corps"/>
      </w:pPr>
      <w:r>
        <w:t xml:space="preserve">La consultation à distance cesse si un associé demande la réunion d'une assemblée selon : [Procédure de demande de réunion d'une assemblée]. La demande et sa réception sont conservées avec le dossier de décision.</w:t>
      </w:r>
    </w:p>
    <w:p>
      <w:pPr>
        <w:pStyle w:val="Intertitre"/>
      </w:pPr>
      <w:r>
        <w:t xml:space="preserve">Procès-verbal des décisions</w:t>
      </w:r>
    </w:p>
    <w:p>
      <w:pPr>
        <w:pStyle w:val="Corps"/>
      </w:pPr>
      <w:r>
        <w:t xml:space="preserve">Chaque décision collective donne lieu à un procès-verbal établi selon : [Établissement et conservation des procès-verbaux]. Il retrace les participants, les documents examinés, les débats, les résolutions et le résultat des votes.</w:t>
      </w:r>
    </w:p>
    <w:p>
      <w:pPr>
        <w:pStyle w:val="Intertitre"/>
      </w:pPr>
      <w:r>
        <w:t xml:space="preserve">Registre des procès-verbaux</w:t>
      </w:r>
    </w:p>
    <w:p>
      <w:pPr>
        <w:pStyle w:val="Corps"/>
      </w:pPr>
      <w:r>
        <w:t xml:space="preserve">Les procès-verbaux sont conservés sur le support suivant : [Référence du registre des procès-verbaux]. La numérotation, la signature, la datation, l'intégrité et la délivrance des copies sont organisées par : [Tenue et conservation du registre des procès-verbaux].</w:t>
      </w:r>
    </w:p>
    <w:p>
      <w:pPr>
        <w:pStyle w:val="Intertitre"/>
      </w:pPr>
      <w:r>
        <w:t xml:space="preserve">Approbation annuelle des comptes</w:t>
      </w:r>
    </w:p>
    <w:p>
      <w:pPr>
        <w:pStyle w:val="Corps"/>
      </w:pPr>
      <w:r>
        <w:t xml:space="preserve">Les comptes annuels et les documents requis sont soumis à l'approbation des associés dans la période officielle suivante : [Délai légal d'approbation des comptes annuels]. Leur établissement, leur contrôle et leur présentation sont organisés par : [Établissement et présentation des comptes annuels].</w:t>
      </w:r>
    </w:p>
    <w:p>
      <w:pPr>
        <w:pStyle w:val="Intertitre"/>
      </w:pPr>
      <w:r>
        <w:t xml:space="preserve">Clause optionnelle : Communication préalable des documents annuels</w:t>
      </w:r>
    </w:p>
    <w:p>
      <w:pPr>
        <w:pStyle w:val="Corps"/>
      </w:pPr>
      <w:r>
        <w:t xml:space="preserve">Lorsque tous les associés ne sont pas gérants, les comptes, rapports et résolutions sont adressés aux associés pendant le délai officiel de [Délai légal de communication des documents annuels] selon : [Communication des documents annuels].</w:t>
      </w:r>
    </w:p>
    <w:p>
      <w:pPr>
        <w:pStyle w:val="Intertitre"/>
      </w:pPr>
      <w:r>
        <w:t xml:space="preserve">Rapport de gestion</w:t>
      </w:r>
    </w:p>
    <w:p>
      <w:pPr>
        <w:pStyle w:val="Corps"/>
      </w:pPr>
      <w:r>
        <w:t xml:space="preserve">La gérance établit le rapport requis pour l'exercice concerné selon : [Établissement du rapport de gestion]. Toute dispense ou exigence renforcée est qualifiée à partir des textes applicables avant l'arrêté du dossier annuel.</w:t>
      </w:r>
    </w:p>
    <w:p>
      <w:pPr>
        <w:pStyle w:val="Intertitre"/>
      </w:pPr>
      <w:r>
        <w:t xml:space="preserve">Affectation du résultat</w:t>
      </w:r>
    </w:p>
    <w:p>
      <w:pPr>
        <w:pStyle w:val="Corps"/>
      </w:pPr>
      <w:r>
        <w:t xml:space="preserve">Après approbation des comptes, les associés affectent le résultat selon les règles suivantes : [Règles d'affectation du résultat]. La décision distingue les pertes antérieures, les réserves, les distributions et le report éventuel.</w:t>
      </w:r>
    </w:p>
    <w:p>
      <w:pPr>
        <w:pStyle w:val="Intertitre"/>
      </w:pPr>
      <w:r>
        <w:t xml:space="preserve">Clause optionnelle : Droit d'information des associés non gérants</w:t>
      </w:r>
    </w:p>
    <w:p>
      <w:pPr>
        <w:pStyle w:val="Corps"/>
      </w:pPr>
      <w:r>
        <w:t xml:space="preserve">Tout associé non gérant peut exercer son droit de communication à la fréquence officielle suivante : [Fréquence légale du droit d'information des associés non gérants]. L'accès, les copies et l'assistance éventuelle sont organisés par : [Exercice du droit d'information des associés non gérants].</w:t>
      </w:r>
    </w:p>
    <w:p>
      <w:pPr>
        <w:pStyle w:val="Intertitre"/>
      </w:pPr>
      <w:r>
        <w:t xml:space="preserve">Clause optionnelle : Questions écrites sur la gestion</w:t>
      </w:r>
    </w:p>
    <w:p>
      <w:pPr>
        <w:pStyle w:val="Corps"/>
      </w:pPr>
      <w:r>
        <w:t xml:space="preserve">L'associé non gérant peut adresser à la gérance des questions écrites sur la gestion. Les questions, réponses et dates de transmission sont conservées selon : [Conservation des questions écrites des associés non gérants].</w:t>
      </w:r>
    </w:p>
    <w:p>
      <w:pPr>
        <w:pStyle w:val="Intertitre"/>
      </w:pPr>
      <w:r>
        <w:t xml:space="preserve"> — choisir une seule variante</w:t>
      </w:r>
    </w:p>
    <w:p>
      <w:pPr>
        <w:pStyle w:val="Variante"/>
      </w:pPr>
      <w:r>
        <w:t xml:space="preserve">Variante : Commissaire aux comptes obligatoire</w:t>
      </w:r>
    </w:p>
    <w:p>
      <w:pPr>
        <w:pStyle w:val="Corps"/>
      </w:pPr>
      <w:r>
        <w:t xml:space="preserve">La société désigne un commissaire aux comptes après application de la règle officielle suivante : [Règle légale de désignation obligatoire du commissaire aux comptes]. Les seuils résolus sont [Seuil réglementaire de total du bilan], [Seuil réglementaire de chiffre d'affaires hors taxes] et [Seuil réglementaire d'effectif salarié] salariés ; leur contrôle est établi par : [Contrôle des seuils de commissariat aux comptes].</w:t>
      </w:r>
    </w:p>
    <w:p>
      <w:pPr>
        <w:pStyle w:val="Variante"/>
      </w:pPr>
      <w:r>
        <w:t xml:space="preserve">Variante : Commissaire aux comptes désigné volontairement</w:t>
      </w:r>
    </w:p>
    <w:p>
      <w:pPr>
        <w:pStyle w:val="Corps"/>
      </w:pPr>
      <w:r>
        <w:t xml:space="preserve">Les associés décident de désigner volontairement un commissaire aux comptes selon : [Demande de nomination d'un commissaire aux comptes]. La décision précise la mission, la durée, l'exercice de départ et les conditions d'acceptation.</w:t>
      </w:r>
    </w:p>
    <w:p>
      <w:pPr>
        <w:pStyle w:val="Variante"/>
      </w:pPr>
      <w:r>
        <w:t xml:space="preserve">Variante : Absence de désignation à la constitution</w:t>
      </w:r>
    </w:p>
    <w:p>
      <w:pPr>
        <w:pStyle w:val="Corps"/>
      </w:pPr>
      <w:r>
        <w:t xml:space="preserve">Aucun commissaire aux comptes n'est désigné par les présents statuts. Cette absence de nomination ne dispense pas la société de contrôler ultérieurement toute obligation légale ou demande ouvrant droit à une désignation.</w:t>
      </w:r>
    </w:p>
    <w:p>
      <w:pPr>
        <w:pStyle w:val="Intertitre"/>
      </w:pPr>
      <w:r>
        <w:t xml:space="preserve">Clause optionnelle : Identité et acceptation du commissaire aux comptes</w:t>
      </w:r>
    </w:p>
    <w:p>
      <w:pPr>
        <w:pStyle w:val="Corps"/>
      </w:pPr>
      <w:r>
        <w:t xml:space="preserve">Le commissaire aux comptes désigné est : [Identité du commissaire aux comptes]. Son acceptation, son indépendance et les pièces relatives à sa désignation sont établies par : [Acceptation du commissaire aux comptes].</w:t>
      </w:r>
    </w:p>
    <w:p>
      <w:pPr>
        <w:pStyle w:val="Intertitre"/>
      </w:pPr>
      <w:r>
        <w:t xml:space="preserve">Clause optionnelle : Information du commissaire aux comptes</w:t>
      </w:r>
    </w:p>
    <w:p>
      <w:pPr>
        <w:pStyle w:val="Corps"/>
      </w:pPr>
      <w:r>
        <w:t xml:space="preserve">Les comptes et documents requis sont mis à la disposition du commissaire aux comptes pendant la période officielle de [Délai légal de mise à disposition des documents au commissaire aux comptes]. La transmission et l'accès sont tracés par : [Transmission des pièces au commissaire aux comptes].</w:t>
      </w:r>
    </w:p>
    <w:p>
      <w:pPr>
        <w:pStyle w:val="Intertitre"/>
      </w:pPr>
      <w:r>
        <w:t xml:space="preserve">Parts sociales non négociables</w:t>
      </w:r>
    </w:p>
    <w:p>
      <w:pPr>
        <w:pStyle w:val="Corps"/>
      </w:pPr>
      <w:r>
        <w:t xml:space="preserve">Les parts sociales ne sont pas représentées par des titres négociables. Leur propriété et leurs mouvements résultent des statuts, des actes, du registre social et des formalités régulièrement accomplies.</w:t>
      </w:r>
    </w:p>
    <w:p>
      <w:pPr>
        <w:pStyle w:val="Intertitre"/>
      </w:pPr>
      <w:r>
        <w:t xml:space="preserve">Consentement à la cession</w:t>
      </w:r>
    </w:p>
    <w:p>
      <w:pPr>
        <w:pStyle w:val="Corps"/>
      </w:pPr>
      <w:r>
        <w:t xml:space="preserve">Toute cession de parts sociales est soumise à la règle officielle suivante : [Règle légale d'agrément des cessions]. Aucune stipulation des présents statuts ne réduit cette exigence.</w:t>
      </w:r>
    </w:p>
    <w:p>
      <w:pPr>
        <w:pStyle w:val="Intertitre"/>
      </w:pPr>
      <w:r>
        <w:t xml:space="preserve">Notification du projet de cession</w:t>
      </w:r>
    </w:p>
    <w:p>
      <w:pPr>
        <w:pStyle w:val="Corps"/>
      </w:pPr>
      <w:r>
        <w:t xml:space="preserve">Tout projet de cession est notifié selon la procédure suivante : [Procédure de notification du projet de cession]. La notification identifie le cessionnaire proposé, les parts, le prix ou son mode de détermination, les conditions, les garanties et la date envisagée.</w:t>
      </w:r>
    </w:p>
    <w:p>
      <w:pPr>
        <w:pStyle w:val="Intertitre"/>
      </w:pPr>
      <w:r>
        <w:t xml:space="preserve">Décision des associés sur la cession</w:t>
      </w:r>
    </w:p>
    <w:p>
      <w:pPr>
        <w:pStyle w:val="Corps"/>
      </w:pPr>
      <w:r>
        <w:t xml:space="preserve">La décision sur tout projet de cession est constatée selon : [Procédure de constatation de la décision de cession]. Elle identifie chaque consentement, tout refus, la date de décision et les suites convenues.</w:t>
      </w:r>
    </w:p>
    <w:p>
      <w:pPr>
        <w:pStyle w:val="Intertitre"/>
      </w:pPr>
      <w:r>
        <w:t xml:space="preserve">Acte et formalités de cession</w:t>
      </w:r>
    </w:p>
    <w:p>
      <w:pPr>
        <w:pStyle w:val="Corps"/>
      </w:pPr>
      <w:r>
        <w:t xml:space="preserve">Toute cession est constatée par écrit selon : [Forme de l'acte écrit de cession]. Son opposabilité à la société est organisée par [Procédure d'opposabilité de la cession à la société] et son opposabilité aux tiers par [Procédure d'opposabilité de la cession aux tiers].</w:t>
      </w:r>
    </w:p>
    <w:p>
      <w:pPr>
        <w:pStyle w:val="Intertitre"/>
      </w:pPr>
      <w:r>
        <w:t xml:space="preserve">Prix et règlement de la cession</w:t>
      </w:r>
    </w:p>
    <w:p>
      <w:pPr>
        <w:pStyle w:val="Corps"/>
      </w:pPr>
      <w:r>
        <w:t xml:space="preserve">Le prix de toute cession et ses modalités de règlement sont arrêtés selon : [Détermination du prix et de ses conditions]. Les retenues, garanties, ajustements et conséquences fiscales éventuels sont distingués de la décision d'agrément.</w:t>
      </w:r>
    </w:p>
    <w:p>
      <w:pPr>
        <w:pStyle w:val="Intertitre"/>
      </w:pPr>
      <w:r>
        <w:t xml:space="preserve">Évaluation des parts cédées ou rachetées</w:t>
      </w:r>
    </w:p>
    <w:p>
      <w:pPr>
        <w:pStyle w:val="Corps"/>
      </w:pPr>
      <w:r>
        <w:t xml:space="preserve">La valeur des parts est déterminée selon : [Méthode de valorisation des parts]. Lorsqu'un texte renvoie à une expertise en cas de contestation, le mécanisme légal applicable est préservé.</w:t>
      </w:r>
    </w:p>
    <w:p>
      <w:pPr>
        <w:pStyle w:val="Intertitre"/>
      </w:pPr>
      <w:r>
        <w:t xml:space="preserve">Clause optionnelle : Préemption statutaire</w:t>
      </w:r>
    </w:p>
    <w:p>
      <w:pPr>
        <w:pStyle w:val="Corps"/>
      </w:pPr>
      <w:r>
        <w:t xml:space="preserve">En complément du consentement requis pour la cession, les associés disposent du mécanisme de préemption suivant : [Procédure statutaire de préemption]. Son exercice ne vaut pas à lui seul consentement à l'entrée du bénéficiaire.</w:t>
      </w:r>
    </w:p>
    <w:p>
      <w:pPr>
        <w:pStyle w:val="Intertitre"/>
      </w:pPr>
      <w:r>
        <w:t xml:space="preserve"> — choisir une seule variante</w:t>
      </w:r>
    </w:p>
    <w:p>
      <w:pPr>
        <w:pStyle w:val="Variante"/>
      </w:pPr>
      <w:r>
        <w:t xml:space="preserve">Variante : Dissolution au décès d'un associé</w:t>
      </w:r>
    </w:p>
    <w:p>
      <w:pPr>
        <w:pStyle w:val="Corps"/>
      </w:pPr>
      <w:r>
        <w:t xml:space="preserve">Le décès d'un associé entraîne la dissolution de la société. La gérance constate l'événement, protège l'actif social, informe les intéressés et prépare les opérations de liquidation.</w:t>
      </w:r>
    </w:p>
    <w:p>
      <w:pPr>
        <w:pStyle w:val="Variante"/>
      </w:pPr>
      <w:r>
        <w:t xml:space="preserve">Variante : Continuation avec les associés survivants</w:t>
      </w:r>
    </w:p>
    <w:p>
      <w:pPr>
        <w:pStyle w:val="Corps"/>
      </w:pPr>
      <w:r>
        <w:t xml:space="preserve">Au décès d'un associé, la société continue entre les associés survivants. La succession devient créancière de la valeur des droits du défunt, déterminée et réglée selon : [Procédure de règlement des droits après décès].</w:t>
      </w:r>
    </w:p>
    <w:p>
      <w:pPr>
        <w:pStyle w:val="Variante"/>
      </w:pPr>
      <w:r>
        <w:t xml:space="preserve">Variante : Continuation avec les héritiers</w:t>
      </w:r>
    </w:p>
    <w:p>
      <w:pPr>
        <w:pStyle w:val="Corps"/>
      </w:pPr>
      <w:r>
        <w:t xml:space="preserve">Au décès d'un associé, la société continue avec le ou les héritiers identifiés selon : [Procédure d'identification des héritiers], sous réserve des conditions statutaires applicables. Les droits transmis et leur valeur sont établis par : [Procédure de règlement des droits après décès]. L’admission comme associé est subordonnée au contrôle suivant : [Capacité commerciale de l’héritier].</w:t>
      </w:r>
    </w:p>
    <w:p>
      <w:pPr>
        <w:pStyle w:val="Variante"/>
      </w:pPr>
      <w:r>
        <w:t xml:space="preserve">Variante : Continuation avec une personne désignée</w:t>
      </w:r>
    </w:p>
    <w:p>
      <w:pPr>
        <w:pStyle w:val="Corps"/>
      </w:pPr>
      <w:r>
        <w:t xml:space="preserve">Au décès d'un associé, la société continue avec la personne suivante : [Personne désignée pour la continuation], conformément au mode de désignation établi par : [Mode de désignation du successeur]. La succession reçoit la valeur des droits attribués. L’admission comme associé est subordonnée au contrôle suivant : [Capacité commerciale du successeur désigné].</w:t>
      </w:r>
    </w:p>
    <w:p>
      <w:pPr>
        <w:pStyle w:val="Intertitre"/>
      </w:pPr>
      <w:r>
        <w:t xml:space="preserve">Clause optionnelle : Agrément de l'héritier</w:t>
      </w:r>
    </w:p>
    <w:p>
      <w:pPr>
        <w:pStyle w:val="Corps"/>
      </w:pPr>
      <w:r>
        <w:t xml:space="preserve">L'entrée de l'héritier comme associé est soumise à la procédure suivante : [Procédure d'agrément de l'héritier]. En cas de refus, la succession conserve le droit à la valeur des droits sociaux selon le régime applicable.</w:t>
      </w:r>
    </w:p>
    <w:p>
      <w:pPr>
        <w:pStyle w:val="Intertitre"/>
      </w:pPr>
      <w:r>
        <w:t xml:space="preserve">Clause optionnelle : Héritier mineur non émancipé</w:t>
      </w:r>
    </w:p>
    <w:p>
      <w:pPr>
        <w:pStyle w:val="Corps"/>
      </w:pPr>
      <w:r>
        <w:t xml:space="preserve">La présence d'un héritier mineur non émancipé est établie par : [Preuve de la minorité non émancipée d'un héritier]. La transformation requise doit intervenir dans la période officielle de [Délai légal de transformation en présence d'un héritier mineur], faute de quoi la société encourt la dissolution.</w:t>
      </w:r>
    </w:p>
    <w:p>
      <w:pPr>
        <w:pStyle w:val="Intertitre"/>
      </w:pPr>
      <w:r>
        <w:t xml:space="preserve"> — choisir une seule variante</w:t>
      </w:r>
    </w:p>
    <w:p>
      <w:pPr>
        <w:pStyle w:val="Variante"/>
      </w:pPr>
      <w:r>
        <w:t xml:space="preserve">Variante : Dissolution après événement affectant un associé</w:t>
      </w:r>
    </w:p>
    <w:p>
      <w:pPr>
        <w:pStyle w:val="Corps"/>
      </w:pPr>
      <w:r>
        <w:t xml:space="preserve">Une liquidation judiciaire, un jugement arrêtant un plan de cession totale de l'entreprise, une mesure d'interdiction d'exercer une profession commerciale ou une incapacité affectant un associé produit la dissolution de la société dans les conditions légales applicables.</w:t>
      </w:r>
    </w:p>
    <w:p>
      <w:pPr>
        <w:pStyle w:val="Variante"/>
      </w:pPr>
      <w:r>
        <w:t xml:space="preserve">Variante : Continuation après événement affectant un associé</w:t>
      </w:r>
    </w:p>
    <w:p>
      <w:pPr>
        <w:pStyle w:val="Corps"/>
      </w:pPr>
      <w:r>
        <w:t xml:space="preserve">En cas de liquidation judiciaire, de jugement arrêtant un plan de cession totale de l'entreprise, d'interdiction d'exercer une profession commerciale ou d'incapacité affectant un associé, la société continue entre les autres associés. L'associé concerné perd sa qualité et ses droits sont réglés selon : [Procédure de valorisation des droits de l'associé sortant].</w:t>
      </w:r>
    </w:p>
    <w:p>
      <w:pPr>
        <w:pStyle w:val="Intertitre"/>
      </w:pPr>
      <w:r>
        <w:t xml:space="preserve">Réunion des parts en une seule main</w:t>
      </w:r>
    </w:p>
    <w:p>
      <w:pPr>
        <w:pStyle w:val="Corps"/>
      </w:pPr>
      <w:r>
        <w:t xml:space="preserve">Si toutes les parts se trouvent réunies entre les mains d'une seule personne, la situation est suivie et régularisée selon : [Procédure de régularisation après réunion des parts en une seule main]. Cette réunion ne transforme pas la société en une forme unipersonnelle non prévue.</w:t>
      </w:r>
    </w:p>
    <w:p>
      <w:pPr>
        <w:pStyle w:val="Intertitre"/>
      </w:pPr>
      <w:r>
        <w:t xml:space="preserve">Causes de dissolution</w:t>
      </w:r>
    </w:p>
    <w:p>
      <w:pPr>
        <w:pStyle w:val="Corps"/>
      </w:pPr>
      <w:r>
        <w:t xml:space="preserve">La société est dissoute par les causes légales, l'arrivée du terme sans prorogation, la réalisation ou l'extinction de l'objet, une décision régulière ou un événement statutaire expressément applicable.</w:t>
      </w:r>
    </w:p>
    <w:p>
      <w:pPr>
        <w:pStyle w:val="Intertitre"/>
      </w:pPr>
      <w:r>
        <w:t xml:space="preserve">Dissolution anticipée</w:t>
      </w:r>
    </w:p>
    <w:p>
      <w:pPr>
        <w:pStyle w:val="Corps"/>
      </w:pPr>
      <w:r>
        <w:t xml:space="preserve">Les associés peuvent décider la dissolution anticipée selon la règle de décision applicable. La résolution fixe la date d'effet, désigne le liquidateur et organise les pouvoirs nécessaires à la liquidation.</w:t>
      </w:r>
    </w:p>
    <w:p>
      <w:pPr>
        <w:pStyle w:val="Intertitre"/>
      </w:pPr>
      <w:r>
        <w:t xml:space="preserve">Ouverture de la liquidation</w:t>
      </w:r>
    </w:p>
    <w:p>
      <w:pPr>
        <w:pStyle w:val="Corps"/>
      </w:pPr>
      <w:r>
        <w:t xml:space="preserve">À compter de la dissolution, la société subsiste pour les besoins de la liquidation. Sa dénomination est accompagnée de la mention correspondante et les opérations étrangères à la liquidation cessent.</w:t>
      </w:r>
    </w:p>
    <w:p>
      <w:pPr>
        <w:pStyle w:val="Intertitre"/>
      </w:pPr>
      <w:r>
        <w:t xml:space="preserve">Désignation du liquidateur</w:t>
      </w:r>
    </w:p>
    <w:p>
      <w:pPr>
        <w:pStyle w:val="Corps"/>
      </w:pPr>
      <w:r>
        <w:t xml:space="preserve">Lors de la dissolution, le liquidateur est désigné selon : [Procédure de désignation du liquidateur]. La décision de nomination fixe son identité, son acceptation, la durée de sa mission, sa rémunération et les modalités de son remplacement.</w:t>
      </w:r>
    </w:p>
    <w:p>
      <w:pPr>
        <w:pStyle w:val="Intertitre"/>
      </w:pPr>
      <w:r>
        <w:t xml:space="preserve">Pouvoirs du liquidateur</w:t>
      </w:r>
    </w:p>
    <w:p>
      <w:pPr>
        <w:pStyle w:val="Corps"/>
      </w:pPr>
      <w:r>
        <w:t xml:space="preserve">Le liquidateur réalise l'actif, acquitte le passif, poursuit les opérations nécessaires et rend compte de sa mission conformément à : [Pouvoirs du liquidateur]. Toute limitation est appréciée au regard des besoins de la liquidation.</w:t>
      </w:r>
    </w:p>
    <w:p>
      <w:pPr>
        <w:pStyle w:val="Intertitre"/>
      </w:pPr>
      <w:r>
        <w:t xml:space="preserve">Comptes de liquidation</w:t>
      </w:r>
    </w:p>
    <w:p>
      <w:pPr>
        <w:pStyle w:val="Corps"/>
      </w:pPr>
      <w:r>
        <w:t xml:space="preserve">Le liquidateur établit les comptes de liquidation, les soumet aux associés et conserve les pièces justificatives selon : [Établissement et approbation des comptes de liquidation]. La décision statue sur le quitus, la clôture et le solde.</w:t>
      </w:r>
    </w:p>
    <w:p>
      <w:pPr>
        <w:pStyle w:val="Intertitre"/>
      </w:pPr>
      <w:r>
        <w:t xml:space="preserve">Répartition du solde de liquidation</w:t>
      </w:r>
    </w:p>
    <w:p>
      <w:pPr>
        <w:pStyle w:val="Corps"/>
      </w:pPr>
      <w:r>
        <w:t xml:space="preserve">Après règlement du passif et remboursement des droits dus, le solde est réparti suivant : [Répartition du boni ou du mali de liquidation]. Le calcul distingue les apports, créances, pertes et droits de chaque associé.</w:t>
      </w:r>
    </w:p>
    <w:p>
      <w:pPr>
        <w:pStyle w:val="Intertitre"/>
      </w:pPr>
      <w:r>
        <w:t xml:space="preserve">Clôture et radiation</w:t>
      </w:r>
    </w:p>
    <w:p>
      <w:pPr>
        <w:pStyle w:val="Corps"/>
      </w:pPr>
      <w:r>
        <w:t xml:space="preserve">La clôture de la liquidation est constatée par une décision des associés, suivie des formalités de publication, dépôt et radiation décrites dans : [Formalités de clôture et de radiation].</w:t>
      </w:r>
    </w:p>
    <w:p>
      <w:pPr>
        <w:pStyle w:val="Intertitre"/>
      </w:pPr>
      <w:r>
        <w:t xml:space="preserve">Clause optionnelle : Actes accomplis pour la société en formation</w:t>
      </w:r>
    </w:p>
    <w:p>
      <w:pPr>
        <w:pStyle w:val="Corps"/>
      </w:pPr>
      <w:r>
        <w:t xml:space="preserve">Les engagements souscrits avant l'immatriculation et destinés à être repris sont décrits dans l'état suivant : [État des actes accomplis pour la société en formation]. Chaque acte est rattaché à son auteur, sa date, son objet et son montant documenté.</w:t>
      </w:r>
    </w:p>
    <w:p>
      <w:pPr>
        <w:pStyle w:val="Intertitre"/>
      </w:pPr>
      <w:r>
        <w:t xml:space="preserve">Clause optionnelle : Mandat avant immatriculation</w:t>
      </w:r>
    </w:p>
    <w:p>
      <w:pPr>
        <w:pStyle w:val="Corps"/>
      </w:pPr>
      <w:r>
        <w:t xml:space="preserve">Les fondateurs confient le mandat suivant pour les actes nécessaires avant l'immatriculation : [Mandat donné avant l'immatriculation]. Le mandat identifie son bénéficiaire, son périmètre, sa durée et les conditions de reprise.</w:t>
      </w:r>
    </w:p>
    <w:p>
      <w:pPr>
        <w:pStyle w:val="Intertitre"/>
      </w:pPr>
      <w:r>
        <w:t xml:space="preserve">Annexes constitutives</w:t>
      </w:r>
    </w:p>
    <w:p>
      <w:pPr>
        <w:pStyle w:val="Corps"/>
      </w:pPr>
      <w:r>
        <w:t xml:space="preserve">Les annexes remises avec les statuts sont recensées dans : [Inventaire des annexes constitutives]. Chaque annexe est identifiée, datée, rapprochée de la clause correspondante et conservée dans sa version signée.</w:t>
      </w:r>
    </w:p>
    <w:p>
      <w:pPr>
        <w:pStyle w:val="Intertitre"/>
      </w:pPr>
      <w:r>
        <w:t xml:space="preserve">Clause optionnelle : Pièces relatives à la gérance</w:t>
      </w:r>
    </w:p>
    <w:p>
      <w:pPr>
        <w:pStyle w:val="Corps"/>
      </w:pPr>
      <w:r>
        <w:t xml:space="preserve">Lorsque le ou les gérants sont désignés à la constitution, les pièces relatives à leur nomination, à leur acceptation, à leur capacité et à leurs pouvoirs sont regroupées sous : [Annexe relative à la nomination de la gérance].</w:t>
      </w:r>
    </w:p>
    <w:p>
      <w:pPr>
        <w:pStyle w:val="Intertitre"/>
      </w:pPr>
      <w:r>
        <w:t xml:space="preserve">Clause optionnelle : Pièces relatives au commissaire aux comptes</w:t>
      </w:r>
    </w:p>
    <w:p>
      <w:pPr>
        <w:pStyle w:val="Corps"/>
      </w:pPr>
      <w:r>
        <w:t xml:space="preserve">Lorsque la branche de commissariat est active, la décision de nomination, l'acceptation, les contrôles d'indépendance et les justificatifs sont regroupés sous : [Annexe relative à la nomination du commissaire aux comptes].</w:t>
      </w:r>
    </w:p>
    <w:p>
      <w:pPr>
        <w:pStyle w:val="Intertitre"/>
      </w:pPr>
      <w:r>
        <w:t xml:space="preserve">Pouvoirs pour les formalités</w:t>
      </w:r>
    </w:p>
    <w:p>
      <w:pPr>
        <w:pStyle w:val="Corps"/>
      </w:pPr>
      <w:r>
        <w:t xml:space="preserve">Tous pouvoirs sont donnés à [Identité du mandataire chargé des formalités] pour accomplir les dépôts, publications, déclarations et démarches d'immatriculation compris dans le périmètre suivant : [Périmètre du mandat de formalités]. Le mandataire ne peut modifier les choix substantiels arrêtés par les associés.</w:t>
      </w:r>
    </w:p>
    <w:p>
      <w:pPr>
        <w:pStyle w:val="Intertitre"/>
      </w:pPr>
      <w:r>
        <w:t xml:space="preserve">Originaux des statuts</w:t>
      </w:r>
    </w:p>
    <w:p>
      <w:pPr>
        <w:pStyle w:val="Corps"/>
      </w:pPr>
      <w:r>
        <w:t xml:space="preserve">Lorsque les statuts sont établis sous signature privée, les originaux sont préparés et conservés selon : [Nombre et conservation des originaux], afin de permettre les formalités, l'archivage social et la remise à chaque associé.</w:t>
      </w:r>
    </w:p>
    <w:p>
      <w:pPr>
        <w:pStyle w:val="Intertitre"/>
      </w:pPr>
      <w:r>
        <w:t xml:space="preserve">Mentions sur les documents sociaux</w:t>
      </w:r>
    </w:p>
    <w:p>
      <w:pPr>
        <w:pStyle w:val="Corps"/>
      </w:pPr>
      <w:r>
        <w:t xml:space="preserve">Après immatriculation, les actes et documents destinés aux tiers portent les mentions légalement requises et sont rapprochés de l'extrait d'immatriculation à jour. La forme SNC y figure sans ambiguïté.</w:t>
      </w:r>
    </w:p>
    <w:p>
      <w:pPr>
        <w:pStyle w:val="Intertitre"/>
      </w:pPr>
      <w:r>
        <w:t xml:space="preserve">Conservation des pièces sociales</w:t>
      </w:r>
    </w:p>
    <w:p>
      <w:pPr>
        <w:pStyle w:val="Corps"/>
      </w:pPr>
      <w:r>
        <w:t xml:space="preserve">Les statuts, actes, décisions, registres, comptes, correspondances et preuves sont conservés selon : [Politique de conservation sociale]. Les accès, versions, signatures et dates restent traçables.</w:t>
      </w:r>
    </w:p>
    <w:p>
      <w:pPr>
        <w:pStyle w:val="Intertitre"/>
      </w:pPr>
      <w:r>
        <w:t xml:space="preserve">Signature des statuts</w:t>
      </w:r>
    </w:p>
    <w:p>
      <w:pPr>
        <w:pStyle w:val="Corps"/>
      </w:pPr>
      <w:r>
        <w:t xml:space="preserve">Les statuts sont signés à [Lieu de signature] le [Date de signature] par [Signataires fondateurs] selon le procédé suivant : [Mode de signature]. Chaque signataire confirme sa qualité et ses pouvoirs.</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