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TRAITÉ DE FUSION-ABSORPTION</w:t>
      </w:r>
    </w:p>
    <w:p>
      <w:pPr>
        <w:pStyle w:val="Intertitre"/>
      </w:pPr>
      <w:r>
        <w:t xml:space="preserve">Projet de traité de fusion-absorption</w:t>
      </w:r>
    </w:p>
    <w:p>
      <w:pPr>
        <w:pStyle w:val="Corps"/>
      </w:pPr>
      <w:r>
        <w:t xml:space="preserve">Le présent projet organise l'absorption de la société identifiée par [Identité complète de la société absorbée] par la société identifiée par [Identité complète de la société absorbante]. Les identités, formes, capitaux, sièges, immatriculations et pouvoirs sont rapprochés de pièces à jour; aucune société, détention ou autorisation n'est déduite du seul contexte de groupe.</w:t>
      </w:r>
    </w:p>
    <w:p>
      <w:pPr>
        <w:pStyle w:val="Intertitre"/>
      </w:pPr>
      <w:r>
        <w:t xml:space="preserve">Société absorbante</w:t>
      </w:r>
    </w:p>
    <w:p>
      <w:pPr>
        <w:pStyle w:val="Corps"/>
      </w:pPr>
      <w:r>
        <w:t xml:space="preserve">La société absorbante est [Identité complète de la société absorbante], représentée par [Représentant habilité de l'absorbante] en vertu de [Pouvoirs et autorisations des signataires]. Elle recevra le patrimoine transmis et assumera les obligations attachées à l'opération à sa date de réalisation définitive.</w:t>
      </w:r>
    </w:p>
    <w:p>
      <w:pPr>
        <w:pStyle w:val="Intertitre"/>
      </w:pPr>
      <w:r>
        <w:t xml:space="preserve">Société absorbée</w:t>
      </w:r>
    </w:p>
    <w:p>
      <w:pPr>
        <w:pStyle w:val="Corps"/>
      </w:pPr>
      <w:r>
        <w:t xml:space="preserve">La société absorbée est [Identité complète de la société absorbée], représentée par [Représentant habilité de l'absorbée] en vertu de [Pouvoirs et autorisations des signataires]. Elle transmettra l'universalité de son patrimoine et disparaîtra sans liquidation lors de la réalisation définitive.</w:t>
      </w:r>
    </w:p>
    <w:p>
      <w:pPr>
        <w:pStyle w:val="Intertitre"/>
      </w:pPr>
      <w:r>
        <w:t xml:space="preserve">Capacité et pouvoirs</w:t>
      </w:r>
    </w:p>
    <w:p>
      <w:pPr>
        <w:pStyle w:val="Corps"/>
      </w:pPr>
      <w:r>
        <w:t xml:space="preserve">Les organes et signataires tiennent leurs pouvoirs de [Pouvoirs et autorisations des signataires] et concluent le projet sous réserve des approbations applicables. Chaque décision précise organe, date, quorum, majorité et habilitation de signature; les pouvoirs de négocier, approuver, signer et accomplir les formalités sont distingués.</w:t>
      </w:r>
    </w:p>
    <w:p>
      <w:pPr>
        <w:pStyle w:val="Intertitre"/>
      </w:pPr>
      <w:r>
        <w:t xml:space="preserve">Liens de capital</w:t>
      </w:r>
    </w:p>
    <w:p>
      <w:pPr>
        <w:pStyle w:val="Corps"/>
      </w:pPr>
      <w:r>
        <w:t xml:space="preserve">La détention avant fusion résulte de [Structure de détention avant fusion] et de l'organigramme [Organigramme du groupe]. Ces éléments servent à qualifier la route juridique, l'existence d'un échange et les éventuelles dispenses; ils doivent demeurer exacts jusqu'à la réalisation.</w:t>
      </w:r>
    </w:p>
    <w:p>
      <w:pPr>
        <w:pStyle w:val="Intertitre"/>
      </w:pPr>
      <w:r>
        <w:t xml:space="preserve">Clause optionnelle : Continuité de la détention</w:t>
      </w:r>
    </w:p>
    <w:p>
      <w:pPr>
        <w:pStyle w:val="Corps"/>
      </w:pPr>
      <w:r>
        <w:t xml:space="preserve">La continuité de la détention requise pour la route retenue est établie par [Preuve de continuité de la détention]. La structure de détention est vérifiée à la date du projet et jusqu'à la réalisation; toute participation croisée, sûreté, option ou variation attendue est signalée.</w:t>
      </w:r>
    </w:p>
    <w:p>
      <w:pPr>
        <w:pStyle w:val="Intertitre"/>
      </w:pPr>
      <w:r>
        <w:t xml:space="preserve">Préambule</w:t>
      </w:r>
    </w:p>
    <w:p>
      <w:pPr>
        <w:pStyle w:val="Corps"/>
      </w:pPr>
      <w:r>
        <w:t xml:space="preserve">Les sociétés exposent leur historique pertinent [Historique social pertinent], les opérations antérieures [Opérations antérieures pertinentes] et les liens de groupe [Organigramme du groupe]. Le contexte expose organisation, activités, liens capitalistiques et calendrier sans créer de garantie autonome; les effets juridiques résultent uniquement des stipulations opérationnelles et décisions requises.</w:t>
      </w:r>
    </w:p>
    <w:p>
      <w:pPr>
        <w:pStyle w:val="Intertitre"/>
      </w:pPr>
      <w:r>
        <w:t xml:space="preserve">Motifs et buts</w:t>
      </w:r>
    </w:p>
    <w:p>
      <w:pPr>
        <w:pStyle w:val="Corps"/>
      </w:pPr>
      <w:r>
        <w:t xml:space="preserve">La fusion poursuit les motifs et buts décrits dans [Motifs et buts de la fusion] et s'inscrit dans les conditions [Conditions générales de l'opération]. Les motifs économiques sont reliés à des faits et mesures post-fusion contemporains; le seul choix d'un régime fiscal ne suffit pas à justifier l'opération.</w:t>
      </w:r>
    </w:p>
    <w:p>
      <w:pPr>
        <w:pStyle w:val="Intertitre"/>
      </w:pPr>
      <w:r>
        <w:t xml:space="preserve">Qualification juridique</w:t>
      </w:r>
    </w:p>
    <w:p>
      <w:pPr>
        <w:pStyle w:val="Corps"/>
      </w:pPr>
      <w:r>
        <w:t xml:space="preserve">L'opération constitue une fusion-absorption emportant transmission universelle du patrimoine et dissolution sans liquidation de l'absorbée. La qualification est limitée à une opération entre sociétés identifiées et ne préjuge ni d'un effet transfrontalier ni d'une autorisation locale non documentée.</w:t>
      </w:r>
    </w:p>
    <w:p>
      <w:pPr>
        <w:pStyle w:val="Intertitre"/>
      </w:pPr>
      <w:r>
        <w:t xml:space="preserve">Périmètre territorial</w:t>
      </w:r>
    </w:p>
    <w:p>
      <w:pPr>
        <w:pStyle w:val="Corps"/>
      </w:pPr>
      <w:r>
        <w:t xml:space="preserve">Le projet est établi pour une fusion interne régie par le droit français; toute dimension transfrontalière impose un modèle distinct. Les objectifs, synergies, coûts et risques sont distingués des conditions de réalisation; aucune prévision commerciale n'est présentée comme garantie de résultat.</w:t>
      </w:r>
    </w:p>
    <w:p>
      <w:pPr>
        <w:pStyle w:val="Intertitre"/>
      </w:pPr>
      <w:r>
        <w:t xml:space="preserve">Conditions générales</w:t>
      </w:r>
    </w:p>
    <w:p>
      <w:pPr>
        <w:pStyle w:val="Corps"/>
      </w:pPr>
      <w:r>
        <w:t xml:space="preserve">Les conditions économiques et juridiques de l'opération sont [Conditions générales de l'opération]. Elles forment un ensemble indivisible sous réserve des stipulations expressément autonomes et des exigences impératives applicables.</w:t>
      </w:r>
    </w:p>
    <w:p>
      <w:pPr>
        <w:pStyle w:val="Intertitre"/>
      </w:pPr>
      <w:r>
        <w:t xml:space="preserve"> — choisir une seule variante</w:t>
      </w:r>
    </w:p>
    <w:p>
      <w:pPr>
        <w:pStyle w:val="Variante"/>
      </w:pPr>
      <w:r>
        <w:t xml:space="preserve">Variante : Procédure ordinaire</w:t>
      </w:r>
    </w:p>
    <w:p>
      <w:pPr>
        <w:pStyle w:val="Corps"/>
      </w:pPr>
      <w:r>
        <w:t xml:space="preserve">La fusion suit la procédure ordinaire, comprenant les rapports et approbations établis par [Rapport des organes dirigeants], [Commissaire à la fusion et rapport], [Approbation des associés de l'absorbante] et [Approbation des associés de l'absorbée].</w:t>
      </w:r>
    </w:p>
    <w:p>
      <w:pPr>
        <w:pStyle w:val="Variante"/>
      </w:pPr>
      <w:r>
        <w:t xml:space="preserve">Variante : Fusion simplifiée avec détention intégrale</w:t>
      </w:r>
    </w:p>
    <w:p>
      <w:pPr>
        <w:pStyle w:val="Corps"/>
      </w:pPr>
      <w:r>
        <w:t xml:space="preserve">La route simplifiée repose sur [Structure de détention avant fusion] et [Preuve de continuité de la détention]; les dispenses applicables sont limitées à celles légalement ouvertes et le droit de demande des minoritaires de l'absorbante s'apprécie au seuil officiel de [Seuil légal de demande d'assemblée par les minoritaires] pour cent.</w:t>
      </w:r>
    </w:p>
    <w:p>
      <w:pPr>
        <w:pStyle w:val="Variante"/>
      </w:pPr>
      <w:r>
        <w:t xml:space="preserve">Variante : Fusion simplifiée avec détention au seuil légal</w:t>
      </w:r>
    </w:p>
    <w:p>
      <w:pPr>
        <w:pStyle w:val="Corps"/>
      </w:pPr>
      <w:r>
        <w:t xml:space="preserve">La route simplifiée au seuil légal repose sur [Structure de détention avant fusion], [Preuve de continuité de la détention] et le traitement des minoritaires décrit par [Offre de rachat aux minoritaires]; le droit de demande des minoritaires de l'absorbante s'apprécie au seuil officiel de [Seuil légal de demande d'assemblée par les minoritaires] pour cent.</w:t>
      </w:r>
    </w:p>
    <w:p>
      <w:pPr>
        <w:pStyle w:val="Intertitre"/>
      </w:pPr>
      <w:r>
        <w:t xml:space="preserve">Clause optionnelle : Offre aux minoritaires</w:t>
      </w:r>
    </w:p>
    <w:p>
      <w:pPr>
        <w:pStyle w:val="Corps"/>
      </w:pPr>
      <w:r>
        <w:t xml:space="preserve">L'offre préalable aux minoritaires, sa valorisation et son résultat sont respectivement [Offre de rachat aux minoritaires], [Méthode de valorisation de l'offre minoritaire] et [Résultat de l'offre de rachat]. La procédure identifie bénéficiaires, organe compétent, documents, délai, preuve et conséquence d'un refus; une dispense ou renonciation est appliquée uniquement dans son champ légal.</w:t>
      </w:r>
    </w:p>
    <w:p>
      <w:pPr>
        <w:pStyle w:val="Intertitre"/>
      </w:pPr>
      <w:r>
        <w:t xml:space="preserve">Arrêté du projet</w:t>
      </w:r>
    </w:p>
    <w:p>
      <w:pPr>
        <w:pStyle w:val="Corps"/>
      </w:pPr>
      <w:r>
        <w:t xml:space="preserve">Le projet a été arrêté par les organes compétents selon [Décision de l'organe compétent de l'absorbante] et [Décision de l'organe compétent de l'absorbée]. Chaque décision identifie le texte soumis, autorise sa signature et réserve les approbations ultérieures qui demeurent requises.</w:t>
      </w:r>
    </w:p>
    <w:p>
      <w:pPr>
        <w:pStyle w:val="Intertitre"/>
      </w:pPr>
      <w:r>
        <w:t xml:space="preserve">Clause optionnelle : Approbations sociales</w:t>
      </w:r>
    </w:p>
    <w:p>
      <w:pPr>
        <w:pStyle w:val="Corps"/>
      </w:pPr>
      <w:r>
        <w:t xml:space="preserve">Les approbations requises sont établies par [Approbation des associés de l'absorbante] et [Approbation des associés de l'absorbée]. Elles portent sur le projet dans son intégralité, ses annexes et les modifications statutaires ou de capital qui en résultent.</w:t>
      </w:r>
    </w:p>
    <w:p>
      <w:pPr>
        <w:pStyle w:val="Intertitre"/>
      </w:pPr>
      <w:r>
        <w:t xml:space="preserve">Clause optionnelle : Augmentation des engagements</w:t>
      </w:r>
    </w:p>
    <w:p>
      <w:pPr>
        <w:pStyle w:val="Corps"/>
      </w:pPr>
      <w:r>
        <w:t xml:space="preserve">L'augmentation des engagements est approuvée conformément à [Preuve d'unanimité en cas d'augmentation des engagements]. Cette preuve identifie les engagements concernés et établit le consentement unanime exigé, sans le déduire de la seule approbation générale du projet.</w:t>
      </w:r>
    </w:p>
    <w:p>
      <w:pPr>
        <w:pStyle w:val="Intertitre"/>
      </w:pPr>
      <w:r>
        <w:t xml:space="preserve">Clause optionnelle : Rapport des organes dirigeants</w:t>
      </w:r>
    </w:p>
    <w:p>
      <w:pPr>
        <w:pStyle w:val="Corps"/>
      </w:pPr>
      <w:r>
        <w:t xml:space="preserve">Le rapport écrit et l'information sur les modifications importantes sont établis par [Rapport des organes dirigeants] et [Traitement des modifications importantes]. Le rapport ou la décision est identifié par auteur, mission, date, conclusion et réserves; un document futur ou une simple intention n'est jamais cité comme obtenu.</w:t>
      </w:r>
    </w:p>
    <w:p>
      <w:pPr>
        <w:pStyle w:val="Intertitre"/>
      </w:pPr>
      <w:r>
        <w:t xml:space="preserve"> — choisir une seule variante</w:t>
      </w:r>
    </w:p>
    <w:p>
      <w:pPr>
        <w:pStyle w:val="Variante"/>
      </w:pPr>
      <w:r>
        <w:t xml:space="preserve">Variante : Commissaire à la fusion</w:t>
      </w:r>
    </w:p>
    <w:p>
      <w:pPr>
        <w:pStyle w:val="Corps"/>
      </w:pPr>
      <w:r>
        <w:t xml:space="preserve">Le commissaire et son rapport sur les valeurs relatives et la parité sont décrits dans [Commissaire à la fusion et rapport]. Les droits des associés ou minoritaires sont exercés sur une information complète et traçable; seuils et délais proviennent des textes officiels ou des pièces, sans valeur supposée.</w:t>
      </w:r>
    </w:p>
    <w:p>
      <w:pPr>
        <w:pStyle w:val="Variante"/>
      </w:pPr>
      <w:r>
        <w:t xml:space="preserve">Variante : Renonciation unanime au commissaire</w:t>
      </w:r>
    </w:p>
    <w:p>
      <w:pPr>
        <w:pStyle w:val="Corps"/>
      </w:pPr>
      <w:r>
        <w:t xml:space="preserve">La renonciation unanime et préalable résulte de [Renonciation unanime au commissaire à la fusion]. Elle a été recueillie dans le calendrier légal avant le point de départ du délai de mise à disposition du rapport et ne vaut pas dispense d'un rapport sur les apports lorsqu'il reste requis.</w:t>
      </w:r>
    </w:p>
    <w:p>
      <w:pPr>
        <w:pStyle w:val="Variante"/>
      </w:pPr>
      <w:r>
        <w:t xml:space="preserve">Variante : Dispense légale de commissaire</w:t>
      </w:r>
    </w:p>
    <w:p>
      <w:pPr>
        <w:pStyle w:val="Corps"/>
      </w:pPr>
      <w:r>
        <w:t xml:space="preserve">La dispense invoquée résulte exclusivement de la route simplifiée et de [Preuve de continuité de la détention]. Toute approbation reprend le traité et ses annexes dans leur version figée et consigne voix, abstentions et pouvoirs; une correction matérielle ne modifie ni périmètre ni rémunération.</w:t>
      </w:r>
    </w:p>
    <w:p>
      <w:pPr>
        <w:pStyle w:val="Intertitre"/>
      </w:pPr>
      <w:r>
        <w:t xml:space="preserve"> — choisir une seule variante</w:t>
      </w:r>
    </w:p>
    <w:p>
      <w:pPr>
        <w:pStyle w:val="Variante"/>
      </w:pPr>
      <w:r>
        <w:t xml:space="preserve">Variante : Rapport sur les apports par le commissaire à la fusion</w:t>
      </w:r>
    </w:p>
    <w:p>
      <w:pPr>
        <w:pStyle w:val="Corps"/>
      </w:pPr>
      <w:r>
        <w:t xml:space="preserve">Le contrôle des apports en nature est intégré au rapport [Commissaire à la fusion et rapport]. La procédure identifie bénéficiaires, organe compétent, documents, délai, preuve et conséquence d'un refus; une dispense ou renonciation est appliquée uniquement dans son champ légal.</w:t>
      </w:r>
    </w:p>
    <w:p>
      <w:pPr>
        <w:pStyle w:val="Variante"/>
      </w:pPr>
      <w:r>
        <w:t xml:space="preserve">Variante : Commissaire aux apports distinct</w:t>
      </w:r>
    </w:p>
    <w:p>
      <w:pPr>
        <w:pStyle w:val="Corps"/>
      </w:pPr>
      <w:r>
        <w:t xml:space="preserve">Le contrôle des apports est établi par [Commissaire aux apports et rapport]. Le rapport vérifie l'actif net transmis, les avantages particuliers et la couverture de l'augmentation de capital, indépendamment de toute renonciation au commissaire à la fusion.</w:t>
      </w:r>
    </w:p>
    <w:p>
      <w:pPr>
        <w:pStyle w:val="Variante"/>
      </w:pPr>
      <w:r>
        <w:t xml:space="preserve">Variante : Dispense de rapport sur les apports</w:t>
      </w:r>
    </w:p>
    <w:p>
      <w:pPr>
        <w:pStyle w:val="Corps"/>
      </w:pPr>
      <w:r>
        <w:t xml:space="preserve">La dispense de rapport sur les apports est limitée au cas légal documenté par [Preuve de continuité de la détention]. Le rapport ou la décision est identifié par auteur, mission, date, conclusion et réserves; un document futur ou une simple intention n'est jamais cité comme obtenu.</w:t>
      </w:r>
    </w:p>
    <w:p>
      <w:pPr>
        <w:pStyle w:val="Intertitre"/>
      </w:pPr>
      <w:r>
        <w:t xml:space="preserve">Transmission universelle</w:t>
      </w:r>
    </w:p>
    <w:p>
      <w:pPr>
        <w:pStyle w:val="Corps"/>
      </w:pPr>
      <w:r>
        <w:t xml:space="preserve">À la réalisation définitive, l'intégralité de l'actif et du passif de l'absorbée est transmise à l'absorbante dans l'état décrit aux annexes. L'inventaire précise nature, titulaire, pièce, valeur, restriction, formalité et responsable; une omission ne fractionne pas l'universalité mais déclenche remise, substitution ou régularisation.</w:t>
      </w:r>
    </w:p>
    <w:p>
      <w:pPr>
        <w:pStyle w:val="Intertitre"/>
      </w:pPr>
      <w:r>
        <w:t xml:space="preserve">Éléments d'actif</w:t>
      </w:r>
    </w:p>
    <w:p>
      <w:pPr>
        <w:pStyle w:val="Corps"/>
      </w:pPr>
      <w:r>
        <w:t xml:space="preserve">Les éléments d'actif transmis sont recensés dans [Inventaire des éléments d'actif transmis], y compris [Trésorerie et créances transmises]. L'énumération détaille leur nature, leur situation, leurs accessoires et les droits nécessaires à leur exploitation, sans limiter la transmission universelle.</w:t>
      </w:r>
    </w:p>
    <w:p>
      <w:pPr>
        <w:pStyle w:val="Intertitre"/>
      </w:pPr>
      <w:r>
        <w:t xml:space="preserve">Éléments de passif</w:t>
      </w:r>
    </w:p>
    <w:p>
      <w:pPr>
        <w:pStyle w:val="Corps"/>
      </w:pPr>
      <w:r>
        <w:t xml:space="preserve">Les éléments de passif pris en charge sont recensés dans [Inventaire des éléments de passif transmis], notamment [Dettes financières transmises] et [Dettes fiscales et sociales transmises]. La prise en charge couvre les dettes certaines, conditionnelles ou litigieuses attachées au patrimoine transmis, selon leur situation à la réalisation.</w:t>
      </w:r>
    </w:p>
    <w:p>
      <w:pPr>
        <w:pStyle w:val="Intertitre"/>
      </w:pPr>
      <w:r>
        <w:t xml:space="preserve">Engagements hors bilan</w:t>
      </w:r>
    </w:p>
    <w:p>
      <w:pPr>
        <w:pStyle w:val="Corps"/>
      </w:pPr>
      <w:r>
        <w:t xml:space="preserve">Les garanties, engagements et risques hors bilan transmis sont [Engagements hors bilan transmis]. Pour chaque élément sont traités consentement, notification, sûreté, contentieux et continuité; une formalité future n'est pas présentée comme déjà accomplie.</w:t>
      </w:r>
    </w:p>
    <w:p>
      <w:pPr>
        <w:pStyle w:val="Intertitre"/>
      </w:pPr>
      <w:r>
        <w:t xml:space="preserve">Clause optionnelle : Immeubles et droits immobiliers</w:t>
      </w:r>
    </w:p>
    <w:p>
      <w:pPr>
        <w:pStyle w:val="Corps"/>
      </w:pPr>
      <w:r>
        <w:t xml:space="preserve">Les immeubles et droits immobiliers transmis sont [Immeubles et droits immobiliers transmis]; leurs formalités propres sont traitées dans les annexes. Les passifs inconnus, engagements éventuels et coûts de séparation suivent les règles du traité sans dépendre de leur seule inscription comptable ou de leur présence en annexe.</w:t>
      </w:r>
    </w:p>
    <w:p>
      <w:pPr>
        <w:pStyle w:val="Intertitre"/>
      </w:pPr>
      <w:r>
        <w:t xml:space="preserve">Clause optionnelle : Propriété intellectuelle</w:t>
      </w:r>
    </w:p>
    <w:p>
      <w:pPr>
        <w:pStyle w:val="Corps"/>
      </w:pPr>
      <w:r>
        <w:t xml:space="preserve">Les droits, inscriptions et renouvellements de propriété intellectuelle transmis sont [Droits de propriété intellectuelle transmis]. Les livres et données sont remis par bordereau avec formats, accès, historiques et conservation; les documents non transférés restent accessibles selon une coopération définie.</w:t>
      </w:r>
    </w:p>
    <w:p>
      <w:pPr>
        <w:pStyle w:val="Intertitre"/>
      </w:pPr>
      <w:r>
        <w:t xml:space="preserve">Clause optionnelle : Contrats et autorisations</w:t>
      </w:r>
    </w:p>
    <w:p>
      <w:pPr>
        <w:pStyle w:val="Corps"/>
      </w:pPr>
      <w:r>
        <w:t xml:space="preserve">Les contrats et autorisations transmis sont [Contrats et autorisations transmis]; les consentements ou notifications nécessaires sont [Consentements ou notifications contractuels]. L'inventaire précise nature, titulaire, pièce, valeur, restriction, formalité et responsable; une omission ne fractionne pas l'universalité mais déclenche remise, substitution ou régularisation.</w:t>
      </w:r>
    </w:p>
    <w:p>
      <w:pPr>
        <w:pStyle w:val="Intertitre"/>
      </w:pPr>
      <w:r>
        <w:t xml:space="preserve">Clause optionnelle : Litiges et procédures</w:t>
      </w:r>
    </w:p>
    <w:p>
      <w:pPr>
        <w:pStyle w:val="Corps"/>
      </w:pPr>
      <w:r>
        <w:t xml:space="preserve">Les litiges, procédures et provisions transmis sont [Litiges et procédures transmis]. Pour chaque élément sont traités consentement, notification, sûreté, contentieux et continuité; une formalité future n'est pas présentée comme déjà accomplie.</w:t>
      </w:r>
    </w:p>
    <w:p>
      <w:pPr>
        <w:pStyle w:val="Intertitre"/>
      </w:pPr>
      <w:r>
        <w:t xml:space="preserve">Sûretés</w:t>
      </w:r>
    </w:p>
    <w:p>
      <w:pPr>
        <w:pStyle w:val="Corps"/>
      </w:pPr>
      <w:r>
        <w:t xml:space="preserve">Les sûretés données ou reçues et leur sort sont recensés dans [Sûretés données et reçues]. Les passifs inconnus, engagements éventuels et coûts de séparation suivent les règles du traité sans dépendre de leur seule inscription comptable ou de leur présence en annexe.</w:t>
      </w:r>
    </w:p>
    <w:p>
      <w:pPr>
        <w:pStyle w:val="Intertitre"/>
      </w:pPr>
      <w:r>
        <w:t xml:space="preserve">Clause optionnelle : Comptes intragroupe</w:t>
      </w:r>
    </w:p>
    <w:p>
      <w:pPr>
        <w:pStyle w:val="Corps"/>
      </w:pPr>
      <w:r>
        <w:t xml:space="preserve">Les comptes réciproques, leur rapprochement et leur traitement à la réalisation sont [Comptes et flux intragroupe]. Les livres et données sont remis par bordereau avec formats, accès, historiques et conservation; les documents non transférés restent accessibles selon une coopération définie.</w:t>
      </w:r>
    </w:p>
    <w:p>
      <w:pPr>
        <w:pStyle w:val="Intertitre"/>
      </w:pPr>
      <w:r>
        <w:t xml:space="preserve">Livres, archives et données</w:t>
      </w:r>
    </w:p>
    <w:p>
      <w:pPr>
        <w:pStyle w:val="Corps"/>
      </w:pPr>
      <w:r>
        <w:t xml:space="preserve">Les livres, archives, accès et données sont remis selon [Remise des livres, archives et données]. L'inventaire précise nature, titulaire, pièce, valeur, restriction, formalité et responsable; une omission ne fractionne pas l'universalité mais déclenche remise, substitution ou régularisation.</w:t>
      </w:r>
    </w:p>
    <w:p>
      <w:pPr>
        <w:pStyle w:val="Intertitre"/>
      </w:pPr>
      <w:r>
        <w:t xml:space="preserve">Comptes de référence</w:t>
      </w:r>
    </w:p>
    <w:p>
      <w:pPr>
        <w:pStyle w:val="Corps"/>
      </w:pPr>
      <w:r>
        <w:t xml:space="preserve">Les conditions de l'opération reposent sur [Comptes de référence de l'absorbante] et [Comptes de référence de l'absorbée], arrêtés aux dates [Dates des comptes de référence]. La méthode précise référentiel, date, hypothèses, retraitements, pièces et rapprochements; tout écart avec les comptes ou l'inventaire est expliqué poste par poste.</w:t>
      </w:r>
    </w:p>
    <w:p>
      <w:pPr>
        <w:pStyle w:val="Intertitre"/>
      </w:pPr>
      <w:r>
        <w:t xml:space="preserve"> — choisir une seule variante</w:t>
      </w:r>
    </w:p>
    <w:p>
      <w:pPr>
        <w:pStyle w:val="Variante"/>
      </w:pPr>
      <w:r>
        <w:t xml:space="preserve">Variante : Valorisation aux valeurs comptables</w:t>
      </w:r>
    </w:p>
    <w:p>
      <w:pPr>
        <w:pStyle w:val="Corps"/>
      </w:pPr>
      <w:r>
        <w:t xml:space="preserve">Les apports sont transcrits selon [Méthode comptable de valorisation] à partir des comptes de référence. Les valeurs comptables, réelles, amortissements, provisions et événements postérieurs sont traités sans double compte et reliés au calcul de l'actif net transmis.</w:t>
      </w:r>
    </w:p>
    <w:p>
      <w:pPr>
        <w:pStyle w:val="Variante"/>
      </w:pPr>
      <w:r>
        <w:t xml:space="preserve">Variante : Valorisation aux valeurs réelles</w:t>
      </w:r>
    </w:p>
    <w:p>
      <w:pPr>
        <w:pStyle w:val="Corps"/>
      </w:pPr>
      <w:r>
        <w:t xml:space="preserve">Les apports sont évalués selon [Méthode comptable de valorisation] et les ajustements [Ajustements de valorisation]. Chaque ajustement indique fait générateur, formule, responsable, calendrier, preuve et incidence sur la rémunération, la prime ou le nombre de titres.</w:t>
      </w:r>
    </w:p>
    <w:p>
      <w:pPr>
        <w:pStyle w:val="Intertitre"/>
      </w:pPr>
      <w:r>
        <w:t xml:space="preserve">Valeur de l'apport</w:t>
      </w:r>
    </w:p>
    <w:p>
      <w:pPr>
        <w:pStyle w:val="Corps"/>
      </w:pPr>
      <w:r>
        <w:t xml:space="preserve">L'actif brut est évalué à [Valeur brute de l'actif apporté], le passif pris en charge à [Valeur du passif pris en charge] et l'actif net à [Valeur nette de l'apport].</w:t>
      </w:r>
    </w:p>
    <w:p>
      <w:pPr>
        <w:pStyle w:val="Intertitre"/>
      </w:pPr>
      <w:r>
        <w:t xml:space="preserve">Clause optionnelle : Ajustements</w:t>
      </w:r>
    </w:p>
    <w:p>
      <w:pPr>
        <w:pStyle w:val="Corps"/>
      </w:pPr>
      <w:r>
        <w:t xml:space="preserve">Les ajustements entre les comptes de référence et la réalisation sont [Ajustements de valorisation]. La perte intercalaire et les modifications significatives sont chiffrées, notifiées et soumises aux organes ou commissaires lorsque leur incidence dépasse une simple correction matérielle.</w:t>
      </w:r>
    </w:p>
    <w:p>
      <w:pPr>
        <w:pStyle w:val="Intertitre"/>
      </w:pPr>
      <w:r>
        <w:t xml:space="preserve">Clause optionnelle : Perte intercalaire</w:t>
      </w:r>
    </w:p>
    <w:p>
      <w:pPr>
        <w:pStyle w:val="Corps"/>
      </w:pPr>
      <w:r>
        <w:t xml:space="preserve">La perte intercalaire éventuelle est traitée selon [Traitement de la perte intercalaire]. La méthode précise référentiel, date, hypothèses, retraitements, pièces et rapprochements; tout écart avec les comptes ou l'inventaire est expliqué poste par poste.</w:t>
      </w:r>
    </w:p>
    <w:p>
      <w:pPr>
        <w:pStyle w:val="Intertitre"/>
      </w:pPr>
      <w:r>
        <w:t xml:space="preserve">Modifications importantes</w:t>
      </w:r>
    </w:p>
    <w:p>
      <w:pPr>
        <w:pStyle w:val="Corps"/>
      </w:pPr>
      <w:r>
        <w:t xml:space="preserve">Les modifications importantes d'actif et de passif sont recensées et communiquées selon [Traitement des modifications importantes]. Les valeurs comptables, réelles, amortissements, provisions et événements postérieurs sont traités sans double compte et reliés au calcul de l'actif net transmis.</w:t>
      </w:r>
    </w:p>
    <w:p>
      <w:pPr>
        <w:pStyle w:val="Intertitre"/>
      </w:pPr>
      <w:r>
        <w:t xml:space="preserve"> — choisir une seule variante</w:t>
      </w:r>
    </w:p>
    <w:p>
      <w:pPr>
        <w:pStyle w:val="Variante"/>
      </w:pPr>
      <w:r>
        <w:t xml:space="preserve">Variante : Rapport d'échange</w:t>
      </w:r>
    </w:p>
    <w:p>
      <w:pPr>
        <w:pStyle w:val="Corps"/>
      </w:pPr>
      <w:r>
        <w:t xml:space="preserve">Le rapport d'échange est [Rapport d'échange], déterminé par [Méthodes de détermination de la parité] compte tenu de [Difficultés particulières d'évaluation]. Le calcul rapproche valeurs des sociétés, catégories de titres, droits, rompus, soulte et date de référence; aucun rapport d'échange ne dépend d'un accord futur laissé à une partie.</w:t>
      </w:r>
    </w:p>
    <w:p>
      <w:pPr>
        <w:pStyle w:val="Variante"/>
      </w:pPr>
      <w:r>
        <w:t xml:space="preserve">Variante : Absence d'échange de titres</w:t>
      </w:r>
    </w:p>
    <w:p>
      <w:pPr>
        <w:pStyle w:val="Corps"/>
      </w:pPr>
      <w:r>
        <w:t xml:space="preserve">Aucun titre n'est échangé pour le fondement précisément établi par [Fondement de l'absence d'échange]. Le nombre, la catégorie, le nominal, les droits et la jouissance des titres concordent avec l'augmentation de capital, la prime et les décisions sociales.</w:t>
      </w:r>
    </w:p>
    <w:p>
      <w:pPr>
        <w:pStyle w:val="Intertitre"/>
      </w:pPr>
      <w:r>
        <w:t xml:space="preserve">Clause optionnelle : Titres remis</w:t>
      </w:r>
    </w:p>
    <w:p>
      <w:pPr>
        <w:pStyle w:val="Corps"/>
      </w:pPr>
      <w:r>
        <w:t xml:space="preserve">Les titres remis sont [Titres émis en rémunération], avec jouissance au [Date de jouissance des titres remis] et remise selon [Modalités de remise des titres]. Les participations croisées et titres annulés sont isolés afin d'éviter émission à soi-même, double rémunération ou traitement incohérent du boni ou mali.</w:t>
      </w:r>
    </w:p>
    <w:p>
      <w:pPr>
        <w:pStyle w:val="Intertitre"/>
      </w:pPr>
      <w:r>
        <w:t xml:space="preserve">Clause optionnelle : Soulte</w:t>
      </w:r>
    </w:p>
    <w:p>
      <w:pPr>
        <w:pStyle w:val="Corps"/>
      </w:pPr>
      <w:r>
        <w:t xml:space="preserve">La soulte de [Montant de la soulte] est répartie selon [Répartition de la soulte] et ne dépasse pas [Plafond légal de la soulte en pourcentage] pour cent de la valeur nominale des titres attribués.</w:t>
      </w:r>
    </w:p>
    <w:p>
      <w:pPr>
        <w:pStyle w:val="Intertitre"/>
      </w:pPr>
      <w:r>
        <w:t xml:space="preserve"> — choisir une seule variante</w:t>
      </w:r>
    </w:p>
    <w:p>
      <w:pPr>
        <w:pStyle w:val="Variante"/>
      </w:pPr>
      <w:r>
        <w:t xml:space="preserve">Variante : Augmentation de capital</w:t>
      </w:r>
    </w:p>
    <w:p>
      <w:pPr>
        <w:pStyle w:val="Corps"/>
      </w:pPr>
      <w:r>
        <w:t xml:space="preserve">Le capital de l'absorbante passe de [Capital de l'absorbante avant l'opération] à [Capital de l'absorbante après l'opération] par une augmentation de [Montant de l'augmentation de capital] et l'émission de [Nombre de titres nouveaux] titres de valeur nominale [Valeur nominale des titres nouveaux].</w:t>
      </w:r>
    </w:p>
    <w:p>
      <w:pPr>
        <w:pStyle w:val="Variante"/>
      </w:pPr>
      <w:r>
        <w:t xml:space="preserve">Variante : Absence d'augmentation de capital</w:t>
      </w:r>
    </w:p>
    <w:p>
      <w:pPr>
        <w:pStyle w:val="Corps"/>
      </w:pPr>
      <w:r>
        <w:t xml:space="preserve">L'opération ne donne lieu à aucune augmentation de capital pour le fondement précisément décrit par [Fondement de l'absence d'augmentation de capital]. Cette absence est rapprochée de la structure de détention, du sort des titres et de la rémunération effectivement retenue.</w:t>
      </w:r>
    </w:p>
    <w:p>
      <w:pPr>
        <w:pStyle w:val="Intertitre"/>
      </w:pPr>
      <w:r>
        <w:t xml:space="preserve">Clause optionnelle : Prime de fusion</w:t>
      </w:r>
    </w:p>
    <w:p>
      <w:pPr>
        <w:pStyle w:val="Corps"/>
      </w:pPr>
      <w:r>
        <w:t xml:space="preserve">La prime de fusion est fixée à [Prime de fusion] selon les valeurs et écritures de l'opération. Tout écart ou ajustement est expliqué dans un tableau vérifiable et ne peut modifier unilatéralement l'économie approuvée après la réalisation.</w:t>
      </w:r>
    </w:p>
    <w:p>
      <w:pPr>
        <w:pStyle w:val="Intertitre"/>
      </w:pPr>
      <w:r>
        <w:t xml:space="preserve">Clause optionnelle : Titres auto-détenus ou participations croisées</w:t>
      </w:r>
    </w:p>
    <w:p>
      <w:pPr>
        <w:pStyle w:val="Corps"/>
      </w:pPr>
      <w:r>
        <w:t xml:space="preserve">Le traitement des titres détenus directement, indirectement ou réciproquement est [Traitement des titres auto-détenus ou croisés]. Le calcul rapproche valeurs des sociétés, catégories de titres, droits, rompus, soulte et date de référence; aucun rapport d'échange ne dépend d'un accord futur laissé à une partie.</w:t>
      </w:r>
    </w:p>
    <w:p>
      <w:pPr>
        <w:pStyle w:val="Intertitre"/>
      </w:pPr>
      <w:r>
        <w:t xml:space="preserve">Clause optionnelle : Boni ou mali de fusion</w:t>
      </w:r>
    </w:p>
    <w:p>
      <w:pPr>
        <w:pStyle w:val="Corps"/>
      </w:pPr>
      <w:r>
        <w:t xml:space="preserve">Le boni ou mali et son traitement comptable sont [Boni ou mali de fusion]. Le nombre, la catégorie, le nominal, les droits et la jouissance des titres concordent avec l'augmentation de capital, la prime et les décisions sociales.</w:t>
      </w:r>
    </w:p>
    <w:p>
      <w:pPr>
        <w:pStyle w:val="Intertitre"/>
      </w:pPr>
      <w:r>
        <w:t xml:space="preserve">Clause optionnelle : Droits spéciaux et avantages particuliers</w:t>
      </w:r>
    </w:p>
    <w:p>
      <w:pPr>
        <w:pStyle w:val="Corps"/>
      </w:pPr>
      <w:r>
        <w:t xml:space="preserve">Les titulaires [Titulaires de droits spéciaux] reçoivent le traitement [Traitement des droits spéciaux]. Chaque droit ou avantage précise bénéficiaire, nature, durée, valeur et incidence; rapports, assemblées et consentements requis sont identifiés séparément.</w:t>
      </w:r>
    </w:p>
    <w:p>
      <w:pPr>
        <w:pStyle w:val="Intertitre"/>
      </w:pPr>
      <w:r>
        <w:t xml:space="preserve">Clause optionnelle : Obligataires de l'absorbée</w:t>
      </w:r>
    </w:p>
    <w:p>
      <w:pPr>
        <w:pStyle w:val="Corps"/>
      </w:pPr>
      <w:r>
        <w:t xml:space="preserve">Les obligataires [Obligataires de l'absorbée] sont traités selon [Traitement des obligataires de l'absorbée]. Cette stipulation s'applique avec les autres décisions et annexes de l'opération, dans le périmètre expressément arrêté par les parties.</w:t>
      </w:r>
    </w:p>
    <w:p>
      <w:pPr>
        <w:pStyle w:val="Intertitre"/>
      </w:pPr>
      <w:r>
        <w:t xml:space="preserve">Clause optionnelle : Obligataires de l'absorbante</w:t>
      </w:r>
    </w:p>
    <w:p>
      <w:pPr>
        <w:pStyle w:val="Corps"/>
      </w:pPr>
      <w:r>
        <w:t xml:space="preserve">Les obligataires [Obligataires de l'absorbante] conservent les droits et voies prévus par [Traitement des obligataires de l'absorbante]. Les porteurs reçoivent l'information et les options prévues dans le calendrier applicable; aucune conversion, remboursement ou maintien de droits n'est présumé sans décision ou preuve.</w:t>
      </w:r>
    </w:p>
    <w:p>
      <w:pPr>
        <w:pStyle w:val="Intertitre"/>
      </w:pPr>
      <w:r>
        <w:t xml:space="preserve">Date d'effet juridique</w:t>
      </w:r>
    </w:p>
    <w:p>
      <w:pPr>
        <w:pStyle w:val="Corps"/>
      </w:pPr>
      <w:r>
        <w:t xml:space="preserve">La fusion prend juridiquement effet le [Date d'effet juridique], sous réserve de sa réalisation définitive et des limites légales applicables. La date juridique est distinguée des effets comptables, fiscaux, sociaux et d'opposabilité; aucun transfert envers un tiers n'est anticipé avant la formalité qui le conditionne.</w:t>
      </w:r>
    </w:p>
    <w:p>
      <w:pPr>
        <w:pStyle w:val="Intertitre"/>
      </w:pPr>
      <w:r>
        <w:t xml:space="preserve"> — choisir une seule variante</w:t>
      </w:r>
    </w:p>
    <w:p>
      <w:pPr>
        <w:pStyle w:val="Variante"/>
      </w:pPr>
      <w:r>
        <w:t xml:space="preserve">Variante : Effet comptable non rétroactif</w:t>
      </w:r>
    </w:p>
    <w:p>
      <w:pPr>
        <w:pStyle w:val="Corps"/>
      </w:pPr>
      <w:r>
        <w:t xml:space="preserve">Les opérations sont comptabilisées par l'absorbante à compter du [Date d'effet comptable]. La rétroactivité organise les comptes entre sociétés sans modifier la date de disparition ni les droits des tiers; les opérations intercalaires sont recensées et rapprochées.</w:t>
      </w:r>
    </w:p>
    <w:p>
      <w:pPr>
        <w:pStyle w:val="Variante"/>
      </w:pPr>
      <w:r>
        <w:t xml:space="preserve">Variante : Effet comptable rétroactif</w:t>
      </w:r>
    </w:p>
    <w:p>
      <w:pPr>
        <w:pStyle w:val="Corps"/>
      </w:pPr>
      <w:r>
        <w:t xml:space="preserve">À compter du [Date d'effet comptable], les opérations de l'absorbée sont réputées accomplies pour le compte de l'absorbante selon [Traitement des opérations de la période intercalaire]. Le régime fiscal est appliqué sur une analyse datée, les engagements et déclarations identifiés et les conditions suivies; aucune neutralité ou transmission d'attribut n'est présentée comme acquise.</w:t>
      </w:r>
    </w:p>
    <w:p>
      <w:pPr>
        <w:pStyle w:val="Intertitre"/>
      </w:pPr>
      <w:r>
        <w:t xml:space="preserve"> — choisir une seule variante</w:t>
      </w:r>
    </w:p>
    <w:p>
      <w:pPr>
        <w:pStyle w:val="Variante"/>
      </w:pPr>
      <w:r>
        <w:t xml:space="preserve">Variante : Régime fiscal de droit commun</w:t>
      </w:r>
    </w:p>
    <w:p>
      <w:pPr>
        <w:pStyle w:val="Corps"/>
      </w:pPr>
      <w:r>
        <w:t xml:space="preserve">Le traitement fiscal de droit commun et sa date d'effet [Date d'effet fiscal retenue] résultent de [Analyse du régime fiscal retenu]. Chaque attribut, déclaration et échéance est ventilé par société, exercice et service compétent avec preuve; le transfert juridique n'emporte pas automatiquement transfert fiscal.</w:t>
      </w:r>
    </w:p>
    <w:p>
      <w:pPr>
        <w:pStyle w:val="Variante"/>
      </w:pPr>
      <w:r>
        <w:t xml:space="preserve">Variante : Régime spécial des fusions</w:t>
      </w:r>
    </w:p>
    <w:p>
      <w:pPr>
        <w:pStyle w:val="Corps"/>
      </w:pPr>
      <w:r>
        <w:t xml:space="preserve">Les parties entendent appliquer le régime spécial sur la base de [Analyse du régime fiscal retenu]; l'absorbante souscrit les engagements [Engagements fiscaux de l'article 210 A]. La date juridique est distinguée des effets comptables, fiscaux, sociaux et d'opposabilité; aucun transfert envers un tiers n'est anticipé avant la formalité qui le conditionne.</w:t>
      </w:r>
    </w:p>
    <w:p>
      <w:pPr>
        <w:pStyle w:val="Intertitre"/>
      </w:pPr>
      <w:r>
        <w:t xml:space="preserve">Déficits et attributs fiscaux</w:t>
      </w:r>
    </w:p>
    <w:p>
      <w:pPr>
        <w:pStyle w:val="Corps"/>
      </w:pPr>
      <w:r>
        <w:t xml:space="preserve">Le traitement des déficits et attributs fiscaux est [Traitement des déficits et attributs fiscaux] et n'est pas présumé du seul choix de régime. La rétroactivité organise les comptes entre sociétés sans modifier la date de disparition ni les droits des tiers; les opérations intercalaires sont recensées et rapprochées.</w:t>
      </w:r>
    </w:p>
    <w:p>
      <w:pPr>
        <w:pStyle w:val="Intertitre"/>
      </w:pPr>
      <w:r>
        <w:t xml:space="preserve">Clause optionnelle : Obligations déclaratives fiscales</w:t>
      </w:r>
    </w:p>
    <w:p>
      <w:pPr>
        <w:pStyle w:val="Corps"/>
      </w:pPr>
      <w:r>
        <w:t xml:space="preserve">Les déclarations, états de suivi et registres sont organisés selon [Déclarations et états fiscaux]. Le régime fiscal est appliqué sur une analyse datée, les engagements et déclarations identifiés et les conditions suivies; aucune neutralité ou transmission d'attribut n'est présentée comme acquise.</w:t>
      </w:r>
    </w:p>
    <w:p>
      <w:pPr>
        <w:pStyle w:val="Intertitre"/>
      </w:pPr>
      <w:r>
        <w:t xml:space="preserve">Clause optionnelle : Portée fiscale de la rétroactivité</w:t>
      </w:r>
    </w:p>
    <w:p>
      <w:pPr>
        <w:pStyle w:val="Corps"/>
      </w:pPr>
      <w:r>
        <w:t xml:space="preserve">La portée fiscale de la date [Date d'effet fiscal retenue] est documentée par [Analyse du régime fiscal retenu] et ne dépasse pas les limites applicables. Chaque attribut, déclaration et échéance est ventilé par société, exercice et service compétent avec preuve; le transfert juridique n'emporte pas automatiquement transfert fiscal.</w:t>
      </w:r>
    </w:p>
    <w:p>
      <w:pPr>
        <w:pStyle w:val="Intertitre"/>
      </w:pPr>
      <w:r>
        <w:t xml:space="preserve">Clause optionnelle : Transfert des contrats de travail</w:t>
      </w:r>
    </w:p>
    <w:p>
      <w:pPr>
        <w:pStyle w:val="Corps"/>
      </w:pPr>
      <w:r>
        <w:t xml:space="preserve">Les contrats des salariés [Salariés concernés] se poursuivent selon [Modalités du transfert des contrats de travail]. La liste ou l'autorisation précise personnes, contrats, droits, passifs, calendrier, preuve et responsable; chaque formalité est suivie jusqu'à confirmation, refus ou mesure de remplacement.</w:t>
      </w:r>
    </w:p>
    <w:p>
      <w:pPr>
        <w:pStyle w:val="Intertitre"/>
      </w:pPr>
      <w:r>
        <w:t xml:space="preserve">Clause optionnelle : Information et consultation</w:t>
      </w:r>
    </w:p>
    <w:p>
      <w:pPr>
        <w:pStyle w:val="Corps"/>
      </w:pPr>
      <w:r>
        <w:t xml:space="preserve">La procédure d'information-consultation est [Information-consultation des représentants du personnel]. Les salariés sont rattachés à l'entité économique par des faits documentés; ancienneté, rémunération, absences, protection, statut collectif et passifs sont inventoriés séparément.</w:t>
      </w:r>
    </w:p>
    <w:p>
      <w:pPr>
        <w:pStyle w:val="Intertitre"/>
      </w:pPr>
      <w:r>
        <w:t xml:space="preserve">Clause optionnelle : Statut collectif</w:t>
      </w:r>
    </w:p>
    <w:p>
      <w:pPr>
        <w:pStyle w:val="Corps"/>
      </w:pPr>
      <w:r>
        <w:t xml:space="preserve">Les conventions, accords, usages et engagements unilatéraux sont traités selon [Traitement du statut collectif]. Les consentements, agréments et contrôles réglementaires sont distingués des notifications; une demande déposée ne vaut ni autorisation ni absence d'opposition.</w:t>
      </w:r>
    </w:p>
    <w:p>
      <w:pPr>
        <w:pStyle w:val="Intertitre"/>
      </w:pPr>
      <w:r>
        <w:t xml:space="preserve">Clause optionnelle : Obligations sociales</w:t>
      </w:r>
    </w:p>
    <w:p>
      <w:pPr>
        <w:pStyle w:val="Corps"/>
      </w:pPr>
      <w:r>
        <w:t xml:space="preserve">La reprise et la répartition des obligations envers les salariés sont [Répartition des obligations envers les salariés]. Les données sont traitées selon finalités, bases, catégories, accès, durées et sécurité avec information et continuité des droits, sans transfert excessif de dossiers.</w:t>
      </w:r>
    </w:p>
    <w:p>
      <w:pPr>
        <w:pStyle w:val="Intertitre"/>
      </w:pPr>
      <w:r>
        <w:t xml:space="preserve">Clause optionnelle : Consentements et notifications</w:t>
      </w:r>
    </w:p>
    <w:p>
      <w:pPr>
        <w:pStyle w:val="Corps"/>
      </w:pPr>
      <w:r>
        <w:t xml:space="preserve">Les consentements, notifications et clauses de changement applicables sont [Consentements ou notifications contractuels]. La liste ou l'autorisation précise personnes, contrats, droits, passifs, calendrier, preuve et responsable; chaque formalité est suivie jusqu'à confirmation, refus ou mesure de remplacement.</w:t>
      </w:r>
    </w:p>
    <w:p>
      <w:pPr>
        <w:pStyle w:val="Intertitre"/>
      </w:pPr>
      <w:r>
        <w:t xml:space="preserve">Clause optionnelle : Autorisations administratives</w:t>
      </w:r>
    </w:p>
    <w:p>
      <w:pPr>
        <w:pStyle w:val="Corps"/>
      </w:pPr>
      <w:r>
        <w:t xml:space="preserve">Le maintien, transfert ou renouvellement des autorisations suit [Transfert ou renouvellement des autorisations]. Les salariés sont rattachés à l'entité économique par des faits documentés; ancienneté, rémunération, absences, protection, statut collectif et passifs sont inventoriés séparément.</w:t>
      </w:r>
    </w:p>
    <w:p>
      <w:pPr>
        <w:pStyle w:val="Intertitre"/>
      </w:pPr>
      <w:r>
        <w:t xml:space="preserve">Clause optionnelle : Autorisation réglementaire</w:t>
      </w:r>
    </w:p>
    <w:p>
      <w:pPr>
        <w:pStyle w:val="Corps"/>
      </w:pPr>
      <w:r>
        <w:t xml:space="preserve">L'autorisation réglementaire requise et son état sont [Autorisations réglementaires]. Les consentements, agréments et contrôles réglementaires sont distingués des notifications; une demande déposée ne vaut ni autorisation ni absence d'opposition.</w:t>
      </w:r>
    </w:p>
    <w:p>
      <w:pPr>
        <w:pStyle w:val="Intertitre"/>
      </w:pPr>
      <w:r>
        <w:t xml:space="preserve">Clause optionnelle : Contrôle des concentrations</w:t>
      </w:r>
    </w:p>
    <w:p>
      <w:pPr>
        <w:pStyle w:val="Corps"/>
      </w:pPr>
      <w:r>
        <w:t xml:space="preserve">L'analyse et, le cas échéant, l'autorisation de concentration sont [Autorisation au titre du contrôle des concentrations]. Les données sont traitées selon finalités, bases, catégories, accès, durées et sécurité avec information et continuité des droits, sans transfert excessif de dossiers.</w:t>
      </w:r>
    </w:p>
    <w:p>
      <w:pPr>
        <w:pStyle w:val="Intertitre"/>
      </w:pPr>
      <w:r>
        <w:t xml:space="preserve">Données personnelles</w:t>
      </w:r>
    </w:p>
    <w:p>
      <w:pPr>
        <w:pStyle w:val="Corps"/>
      </w:pPr>
      <w:r>
        <w:t xml:space="preserve">La continuité des traitements, l'information et la sécurité des données suivent [Mesures relatives aux données personnelles]. La liste ou l'autorisation précise personnes, contrats, droits, passifs, calendrier, preuve et responsable; chaque formalité est suivie jusqu'à confirmation, refus ou mesure de remplacement.</w:t>
      </w:r>
    </w:p>
    <w:p>
      <w:pPr>
        <w:pStyle w:val="Intertitre"/>
      </w:pPr>
      <w:r>
        <w:t xml:space="preserve">Créanciers non obligataires</w:t>
      </w:r>
    </w:p>
    <w:p>
      <w:pPr>
        <w:pStyle w:val="Corps"/>
      </w:pPr>
      <w:r>
        <w:t xml:space="preserve">L'absorbante devient débitrice des créanciers de l'absorbée sans novation, sous réserve de leurs droits. Le tableau identifie créancier, origine, montant, échéance, sûreté et débiteur avant et après fusion afin d'organiser opposition, remboursement, garantie et substitution.</w:t>
      </w:r>
    </w:p>
    <w:p>
      <w:pPr>
        <w:pStyle w:val="Intertitre"/>
      </w:pPr>
      <w:r>
        <w:t xml:space="preserve">Inventaire des créanciers</w:t>
      </w:r>
    </w:p>
    <w:p>
      <w:pPr>
        <w:pStyle w:val="Corps"/>
      </w:pPr>
      <w:r>
        <w:t xml:space="preserve">Les créanciers antérieurs à la publicité sont recensés dans [Créanciers antérieurs à la publicité]. Le délai et son point de départ sont rapprochés de la publication réelle et des textes officiels; aucune échéance n'est calculée depuis un projet d'avis.</w:t>
      </w:r>
    </w:p>
    <w:p>
      <w:pPr>
        <w:pStyle w:val="Intertitre"/>
      </w:pPr>
      <w:r>
        <w:t xml:space="preserve">Délai d'opposition</w:t>
      </w:r>
    </w:p>
    <w:p>
      <w:pPr>
        <w:pStyle w:val="Corps"/>
      </w:pPr>
      <w:r>
        <w:t xml:space="preserve">Le suivi des oppositions couvre [Délai légal d'opposition des créanciers en jours] jours à compter du point de départ légal, jusqu'au [Fin du délai d'opposition des créanciers]. Chaque opposition est suivie jusqu'à décision, retrait, remboursement ou garantie avec pièce; une opposition pendante bloque le constat correspondant lorsque la loi l'exige.</w:t>
      </w:r>
    </w:p>
    <w:p>
      <w:pPr>
        <w:pStyle w:val="Intertitre"/>
      </w:pPr>
      <w:r>
        <w:t xml:space="preserve">Clause optionnelle : Oppositions formées</w:t>
      </w:r>
    </w:p>
    <w:p>
      <w:pPr>
        <w:pStyle w:val="Corps"/>
      </w:pPr>
      <w:r>
        <w:t xml:space="preserve">Les oppositions et leur état sont [État des oppositions de créanciers]; les remboursements ou garanties sont [Remboursements ou garanties ordonnés]. Les clauses d'exigibilité, covenants, sûretés et consentements financiers sont examinés; la transmission universelle ne purge pas un manquement ni une exigibilité contractuelle.</w:t>
      </w:r>
    </w:p>
    <w:p>
      <w:pPr>
        <w:pStyle w:val="Intertitre"/>
      </w:pPr>
      <w:r>
        <w:t xml:space="preserve">Clauses de financement</w:t>
      </w:r>
    </w:p>
    <w:p>
      <w:pPr>
        <w:pStyle w:val="Corps"/>
      </w:pPr>
      <w:r>
        <w:t xml:space="preserve">Les clauses de remboursement, consentement ou garantie déclenchées par la fusion sont [Clauses financières déclenchées par la fusion]. Le tableau identifie créancier, origine, montant, échéance, sûreté et débiteur avant et après fusion afin d'organiser opposition, remboursement, garantie et substitution.</w:t>
      </w:r>
    </w:p>
    <w:p>
      <w:pPr>
        <w:pStyle w:val="Intertitre"/>
      </w:pPr>
      <w:r>
        <w:t xml:space="preserve">Clause optionnelle : Conditions suspensives</w:t>
      </w:r>
    </w:p>
    <w:p>
      <w:pPr>
        <w:pStyle w:val="Corps"/>
      </w:pPr>
      <w:r>
        <w:t xml:space="preserve">La réalisation est subordonnée à [Conditions suspensives], justifiée par [Preuves de réalisation des conditions] au plus tard le [Date butoir]. Chaque condition identifie bénéficiaire, responsable, diligences, preuve, date butoir, renonciation admissible et conséquence; aucune prorogation ni réalisation tacite n'est présumée.</w:t>
      </w:r>
    </w:p>
    <w:p>
      <w:pPr>
        <w:pStyle w:val="Intertitre"/>
      </w:pPr>
      <w:r>
        <w:t xml:space="preserve">Clause optionnelle : Réalisation sans condition suspensive conventionnelle</w:t>
      </w:r>
    </w:p>
    <w:p>
      <w:pPr>
        <w:pStyle w:val="Corps"/>
      </w:pPr>
      <w:r>
        <w:t xml:space="preserve">Aucune condition suspensive conventionnelle n'est ajoutée aux exigences légales; les parties demeurent tenues d'accomplir les formalités impératives. L'absence de condition conventionnelle ne supprime ni décisions, rapports, oppositions, agréments ni formalités impératives, qui restent des prérequis distincts.</w:t>
      </w:r>
    </w:p>
    <w:p>
      <w:pPr>
        <w:pStyle w:val="Intertitre"/>
      </w:pPr>
      <w:r>
        <w:t xml:space="preserve">Clause optionnelle : Renonciation aux conditions</w:t>
      </w:r>
    </w:p>
    <w:p>
      <w:pPr>
        <w:pStyle w:val="Corps"/>
      </w:pPr>
      <w:r>
        <w:t xml:space="preserve">Toute renonciation autorisée suit [Procédure de renonciation aux conditions] sans couvrir une exigence impérative. La gestion intercalaire distingue actes courants, opérations réservées, seuils, information et urgence sans transférer prématurément le contrôle à l'absorbante.</w:t>
      </w:r>
    </w:p>
    <w:p>
      <w:pPr>
        <w:pStyle w:val="Intertitre"/>
      </w:pPr>
      <w:r>
        <w:t xml:space="preserve">Gestion pendant la période intercalaire</w:t>
      </w:r>
    </w:p>
    <w:p>
      <w:pPr>
        <w:pStyle w:val="Corps"/>
      </w:pPr>
      <w:r>
        <w:t xml:space="preserve">Jusqu'à la réalisation, les sociétés respectent [Engagements de gestion intercalaire]. La caducité traite restitution, confidentialité, coûts, opérations intercalaires et responsabilité pour obstruction sans effacer les obligations nées avant l'échec.</w:t>
      </w:r>
    </w:p>
    <w:p>
      <w:pPr>
        <w:pStyle w:val="Intertitre"/>
      </w:pPr>
      <w:r>
        <w:t xml:space="preserve">Caducité ou résiliation</w:t>
      </w:r>
    </w:p>
    <w:p>
      <w:pPr>
        <w:pStyle w:val="Corps"/>
      </w:pPr>
      <w:r>
        <w:t xml:space="preserve">À défaut de réalisation, la caducité ou résiliation suit [Caducité ou résiliation avant réalisation] sans effacer les obligations déjà nées. Chaque condition identifie bénéficiaire, responsable, diligences, preuve, date butoir, renonciation admissible et conséquence; aucune prorogation ni réalisation tacite n'est présumée.</w:t>
      </w:r>
    </w:p>
    <w:p>
      <w:pPr>
        <w:pStyle w:val="Intertitre"/>
      </w:pPr>
      <w:r>
        <w:t xml:space="preserve">Clause optionnelle : Dépôt du projet</w:t>
      </w:r>
    </w:p>
    <w:p>
      <w:pPr>
        <w:pStyle w:val="Corps"/>
      </w:pPr>
      <w:r>
        <w:t xml:space="preserve">Le projet est déposé selon [Dépôts aux greffes] auprès des greffes compétents. La formalité précise responsable, pièce, registre, délai et preuve; un projet, une demande ou un récépissé futur n'est jamais présenté comme dépôt ou publication accomplis.</w:t>
      </w:r>
    </w:p>
    <w:p>
      <w:pPr>
        <w:pStyle w:val="Intertitre"/>
      </w:pPr>
      <w:r>
        <w:t xml:space="preserve">Clause optionnelle : Publicité du projet</w:t>
      </w:r>
    </w:p>
    <w:p>
      <w:pPr>
        <w:pStyle w:val="Corps"/>
      </w:pPr>
      <w:r>
        <w:t xml:space="preserve">Les publicités requises sont accomplies selon [Publicités légales]. Le certificat rapproche conditions, décisions, rapports, oppositions, autorisations et livrables; toute réserve substantielle empêche de constater une réalisation complète.</w:t>
      </w:r>
    </w:p>
    <w:p>
      <w:pPr>
        <w:pStyle w:val="Intertitre"/>
      </w:pPr>
      <w:r>
        <w:t xml:space="preserve">Clause optionnelle : Déclaration de conformité</w:t>
      </w:r>
    </w:p>
    <w:p>
      <w:pPr>
        <w:pStyle w:val="Corps"/>
      </w:pPr>
      <w:r>
        <w:t xml:space="preserve">La déclaration applicable aux sociétés concernées est [Déclaration de conformité applicable]. Les déclarations et mises à jour postérieures concordent avec le traité approuvé et n'autorisent que des corrections matérielles, jamais une modification du patrimoine ou de la rémunération.</w:t>
      </w:r>
    </w:p>
    <w:p>
      <w:pPr>
        <w:pStyle w:val="Intertitre"/>
      </w:pPr>
      <w:r>
        <w:t xml:space="preserve">Clause optionnelle : Constat de réalisation</w:t>
      </w:r>
    </w:p>
    <w:p>
      <w:pPr>
        <w:pStyle w:val="Corps"/>
      </w:pPr>
      <w:r>
        <w:t xml:space="preserve">La réalisation définitive est constatée par [Constat de réalisation définitive]. La formalité précise responsable, pièce, registre, délai et preuve; un projet, une demande ou un récépissé futur n'est jamais présenté comme dépôt ou publication accomplis.</w:t>
      </w:r>
    </w:p>
    <w:p>
      <w:pPr>
        <w:pStyle w:val="Intertitre"/>
      </w:pPr>
      <w:r>
        <w:t xml:space="preserve">Formalités postérieures</w:t>
      </w:r>
    </w:p>
    <w:p>
      <w:pPr>
        <w:pStyle w:val="Corps"/>
      </w:pPr>
      <w:r>
        <w:t xml:space="preserve">Les inscriptions modificatives, publications et radiation sont accomplies selon [Formalités modificatives et radiation]. Le certificat rapproche conditions, décisions, rapports, oppositions, autorisations et livrables; toute réserve substantielle empêche de constater une réalisation complète.</w:t>
      </w:r>
    </w:p>
    <w:p>
      <w:pPr>
        <w:pStyle w:val="Intertitre"/>
      </w:pPr>
      <w:r>
        <w:t xml:space="preserve">Dissolution sans liquidation</w:t>
      </w:r>
    </w:p>
    <w:p>
      <w:pPr>
        <w:pStyle w:val="Corps"/>
      </w:pPr>
      <w:r>
        <w:t xml:space="preserve">À la réalisation, l'absorbée est dissoute sans liquidation selon [Effets de la dissolution sans liquidation]. La dissolution intervient sans liquidation à la date juridiquement établie; aucun liquidateur, partage ou clôture fictive n'est introduit dans les actes ou registres.</w:t>
      </w:r>
    </w:p>
    <w:p>
      <w:pPr>
        <w:pStyle w:val="Intertitre"/>
      </w:pPr>
      <w:r>
        <w:t xml:space="preserve">Effets définitifs de la transmission</w:t>
      </w:r>
    </w:p>
    <w:p>
      <w:pPr>
        <w:pStyle w:val="Corps"/>
      </w:pPr>
      <w:r>
        <w:t xml:space="preserve">L'absorbante est substituée dans les droits et obligations selon [Effets de la transmission universelle]. Les effets définitifs comprennent transmission des droits et obligations, disparition de l'absorbée et substitution de l'absorbante, sous réserve des formalités propres à certains éléments.</w:t>
      </w:r>
    </w:p>
    <w:p>
      <w:pPr>
        <w:pStyle w:val="Intertitre"/>
      </w:pPr>
      <w:r>
        <w:t xml:space="preserve">Frais et honoraires</w:t>
      </w:r>
    </w:p>
    <w:p>
      <w:pPr>
        <w:pStyle w:val="Corps"/>
      </w:pPr>
      <w:r>
        <w:t xml:space="preserve">Les frais, droits et honoraires sont répartis selon [Répartition des frais et honoraires]. Les frais sont ventilés par nature, société et responsable sans préjuger de leur déductibilité ni des conséquences d'un retard imputable.</w:t>
      </w:r>
    </w:p>
    <w:p>
      <w:pPr>
        <w:pStyle w:val="Intertitre"/>
      </w:pPr>
      <w:r>
        <w:t xml:space="preserve">Clause optionnelle : Annexes</w:t>
      </w:r>
    </w:p>
    <w:p>
      <w:pPr>
        <w:pStyle w:val="Corps"/>
      </w:pPr>
      <w:r>
        <w:t xml:space="preserve">Les comptes, états d'actif et de passif, rapports, décisions et autres annexes sont recensés dans [Inventaire définitif des annexes]. Chaque annexe est numérotée, datée, figée et rapprochée du bloc concerné; toute divergence entre inventaires, comptes, rapports, décisions et traité bloque la signature.</w:t>
      </w:r>
    </w:p>
    <w:p>
      <w:pPr>
        <w:pStyle w:val="Intertitre"/>
      </w:pPr>
      <w:r>
        <w:t xml:space="preserve">Clause optionnelle : Signatures</w:t>
      </w:r>
    </w:p>
    <w:p>
      <w:pPr>
        <w:pStyle w:val="Corps"/>
      </w:pPr>
      <w:r>
        <w:t xml:space="preserve">Fait à [Lieu de signature] le [Date de signature] par [Signataires habilités] dûment habilités. La signature est apposée après vérification de l'identité, de la qualité et des pouvoirs de chaque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