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TRANSMISSION UNIVERSELLE DE PATRIMOINE (TUP)</w:t>
      </w:r>
    </w:p>
    <w:p>
      <w:pPr>
        <w:pStyle w:val="Intertitre"/>
      </w:pPr>
      <w:r>
        <w:t xml:space="preserve"> — choisir une seule variante</w:t>
      </w:r>
    </w:p>
    <w:p>
      <w:pPr>
        <w:pStyle w:val="Variante"/>
      </w:pPr>
      <w:r>
        <w:t xml:space="preserve">Variante : Décision de dissolution sans liquidation et transmission universelle de patrimoine</w:t>
      </w:r>
    </w:p>
    <w:p>
      <w:pPr>
        <w:pStyle w:val="Corps"/>
      </w:pPr>
      <w:r>
        <w:t xml:space="preserve">L'associé unique de [Identité complète de la société dissoute] statue sur la dissolution sans liquidation de cette société et sur la transmission universelle de son patrimoine. La décision distingue son adoption de la réalisation future, laquelle reste subordonnée à la publicité, à l'expiration du délai d'opposition et au traitement des oppositions recevables.</w:t>
      </w:r>
    </w:p>
    <w:p>
      <w:pPr>
        <w:pStyle w:val="Variante"/>
      </w:pPr>
      <w:r>
        <w:t xml:space="preserve">Variante : Constat de réalisation de la transmission universelle de patrimoine</w:t>
      </w:r>
    </w:p>
    <w:p>
      <w:pPr>
        <w:pStyle w:val="Corps"/>
      </w:pPr>
      <w:r>
        <w:t xml:space="preserve">L'associé unique de [Identité complète de la société dissoute] constate la réalisation de la transmission universelle du patrimoine décidée antérieurement. Ce constat n'est établi qu'après rapprochement de la décision initiale, de la publication, du calendrier légal et des preuves de purge; il ne remplace aucune formalité d'opposabilité particulière.</w:t>
      </w:r>
    </w:p>
    <w:p>
      <w:pPr>
        <w:pStyle w:val="Intertitre"/>
      </w:pPr>
      <w:r>
        <w:t xml:space="preserve">Associé unique</w:t>
      </w:r>
    </w:p>
    <w:p>
      <w:pPr>
        <w:pStyle w:val="Corps"/>
      </w:pPr>
      <w:r>
        <w:t xml:space="preserve">L'associé unique est [Identité complète de l'associé unique], représenté par [Représentant habilité de l'associé unique] en vertu de [Pouvoirs du représentant de l'associé unique]. Son identité, sa forme, son siège, son immatriculation et la qualité du représentant sont rapprochés de pièces à jour; aucun pouvoir n'est déduit du seul lien de groupe.</w:t>
      </w:r>
    </w:p>
    <w:p>
      <w:pPr>
        <w:pStyle w:val="Intertitre"/>
      </w:pPr>
      <w:r>
        <w:t xml:space="preserve">Société dissoute</w:t>
      </w:r>
    </w:p>
    <w:p>
      <w:pPr>
        <w:pStyle w:val="Corps"/>
      </w:pPr>
      <w:r>
        <w:t xml:space="preserve">La société concernée est [Identité complète de la société dissoute], au capital de [Capital de la société dissoute], dont le siège est [Siège de la société dissoute], immatriculée sous [Immatriculation de la société dissoute].</w:t>
      </w:r>
    </w:p>
    <w:p>
      <w:pPr>
        <w:pStyle w:val="Intertitre"/>
      </w:pPr>
      <w:r>
        <w:t xml:space="preserve">Détention intégrale</w:t>
      </w:r>
    </w:p>
    <w:p>
      <w:pPr>
        <w:pStyle w:val="Corps"/>
      </w:pPr>
      <w:r>
        <w:t xml:space="preserve">La réunion de l'intégralité des droits sociaux entre les mains de l'associé unique résulte de [Preuve de détention intégrale] et de [Chaîne de détention et bénéficiaires effectifs]. Les registres et actes établissent une détention continue de la totalité des droits à la date de décision et jusqu'à la réalisation; toute promesse, sûreté ou indivision est signalée.</w:t>
      </w:r>
    </w:p>
    <w:p>
      <w:pPr>
        <w:pStyle w:val="Intertitre"/>
      </w:pPr>
      <w:r>
        <w:t xml:space="preserve"> — choisir une seule variante</w:t>
      </w:r>
    </w:p>
    <w:p>
      <w:pPr>
        <w:pStyle w:val="Variante"/>
      </w:pPr>
      <w:r>
        <w:t xml:space="preserve">Variante : Éligibilité de l'associé unique personne morale</w:t>
      </w:r>
    </w:p>
    <w:p>
      <w:pPr>
        <w:pStyle w:val="Corps"/>
      </w:pPr>
      <w:r>
        <w:t xml:space="preserve">L'associé unique est une personne morale; la dissolution peut produire la transmission prévue par l'article 1844-5 sous réserve des autres conditions. La forme et l'existence de la personne morale sont vérifiées à la date de décision; la clause n'anticipe ni la purge des créanciers ni la disparition de la société dissoute.</w:t>
      </w:r>
    </w:p>
    <w:p>
      <w:pPr>
        <w:pStyle w:val="Variante"/>
      </w:pPr>
      <w:r>
        <w:t xml:space="preserve">Variante : Associé unique personne physique</w:t>
      </w:r>
    </w:p>
    <w:p>
      <w:pPr>
        <w:pStyle w:val="Corps"/>
      </w:pPr>
      <w:r>
        <w:t xml:space="preserve">La route de transmission universelle n'est pas disponible lorsque l'associé unique est une personne physique; une liquidation appropriée doit être instruite. Cette branche bloque la décision et le constat de réalisation; elle oriente le dossier vers un mode de dissolution avec liquidation sans réutiliser les formalités propres à la TUP.</w:t>
      </w:r>
    </w:p>
    <w:p>
      <w:pPr>
        <w:pStyle w:val="Intertitre"/>
      </w:pPr>
      <w:r>
        <w:t xml:space="preserve">Clause optionnelle : Contexte</w:t>
      </w:r>
    </w:p>
    <w:p>
      <w:pPr>
        <w:pStyle w:val="Corps"/>
      </w:pPr>
      <w:r>
        <w:t xml:space="preserve">L'associé unique rappelle [Contexte de la décision] ainsi que les décisions sociales antérieures suivantes : [Décisions sociales antérieures pertinentes]. Le contexte expose l'organisation du groupe, les objectifs, les opérations antérieures et les dépendances à régulariser, sans créer de garantie ni présumer un régime fiscal favorable.</w:t>
      </w:r>
    </w:p>
    <w:p>
      <w:pPr>
        <w:pStyle w:val="Intertitre"/>
      </w:pPr>
      <w:r>
        <w:t xml:space="preserve">Clause optionnelle : Décision antérieure de dissolution</w:t>
      </w:r>
    </w:p>
    <w:p>
      <w:pPr>
        <w:pStyle w:val="Corps"/>
      </w:pPr>
      <w:r>
        <w:t xml:space="preserve">Par décision prise le [Date de la décision de dissolution] à [Lieu de la décision], l'associé unique a prononcé la dissolution sans liquidation selon [Termes de la décision de dissolution] et a prévu la transmission universelle du patrimoine à l'issue du délai légal d'opposition.</w:t>
      </w:r>
    </w:p>
    <w:p>
      <w:pPr>
        <w:pStyle w:val="Intertitre"/>
      </w:pPr>
      <w:r>
        <w:t xml:space="preserve">Pouvoirs</w:t>
      </w:r>
    </w:p>
    <w:p>
      <w:pPr>
        <w:pStyle w:val="Corps"/>
      </w:pPr>
      <w:r>
        <w:t xml:space="preserve">Le représentant dispose de [Pouvoirs du représentant de l'associé unique] et les autorisations internes sont [Autorisations sociales de l'associé unique]. Chaque autorisation précise organe, décision, date et étendue; le pouvoir de décider, celui d'accomplir les formalités et celui de signer le constat sont contrôlés séparément.</w:t>
      </w:r>
    </w:p>
    <w:p>
      <w:pPr>
        <w:pStyle w:val="Intertitre"/>
      </w:pPr>
      <w:r>
        <w:t xml:space="preserve">Fondement juridique</w:t>
      </w:r>
    </w:p>
    <w:p>
      <w:pPr>
        <w:pStyle w:val="Corps"/>
      </w:pPr>
      <w:r>
        <w:t xml:space="preserve">L'opération relève de l'article 1844-5 du Code civil : la dissolution ne donne lieu à aucune liquidation et entraîne, lors de sa réalisation, la transmission universelle du patrimoine à l'associé unique. La décision ne suffit toutefois pas à constater immédiatement cette réalisation : la publicité doit être accomplie, le délai d'opposition doit expirer et toute opposition recevable doit être rejetée ou traitée dans les conditions légalement requises.</w:t>
      </w:r>
    </w:p>
    <w:p>
      <w:pPr>
        <w:pStyle w:val="Intertitre"/>
      </w:pPr>
      <w:r>
        <w:t xml:space="preserve">Clause optionnelle : Motifs économiques</w:t>
      </w:r>
    </w:p>
    <w:p>
      <w:pPr>
        <w:pStyle w:val="Corps"/>
      </w:pPr>
      <w:r>
        <w:t xml:space="preserve">Les motifs et effets attendus sont [Motifs économiques de la dissolution] et ne sont pas déduits du seul choix fiscal. Les simplifications, économies ou regroupements d'activité sont reliés à des faits contemporains et aux mesures post-transmission; leur réalité ne résulte pas de la seule dissolution.</w:t>
      </w:r>
    </w:p>
    <w:p>
      <w:pPr>
        <w:pStyle w:val="Intertitre"/>
      </w:pPr>
      <w:r>
        <w:t xml:space="preserve">Clause optionnelle : Dissolution sans liquidation</w:t>
      </w:r>
    </w:p>
    <w:p>
      <w:pPr>
        <w:pStyle w:val="Corps"/>
      </w:pPr>
      <w:r>
        <w:t xml:space="preserve">L'associé unique décide le [Date de la décision de dissolution] à [Lieu de la décision] la dissolution sans liquidation selon [Termes de la décision de dissolution]. La décision mentionne expressément l'absence de liquidation, l'identité de l'associé unique et le régime d'opposition; elle ne fixe pas une date de réalisation contraire au calendrier légal.</w:t>
      </w:r>
    </w:p>
    <w:p>
      <w:pPr>
        <w:pStyle w:val="Intertitre"/>
      </w:pPr>
      <w:r>
        <w:t xml:space="preserve">Clause optionnelle : Transmission universelle</w:t>
      </w:r>
    </w:p>
    <w:p>
      <w:pPr>
        <w:pStyle w:val="Corps"/>
      </w:pPr>
      <w:r>
        <w:t xml:space="preserve">L'associé unique constate que le patrimoine sera universellement transmis à son profit à la date de réalisation définie après purge du droit d'opposition. La transmission comprend les éléments actifs et passifs transmissibles, y compris ceux omis des inventaires; les annexes servent à organiser leur remise et non à fractionner l'universalité.</w:t>
      </w:r>
    </w:p>
    <w:p>
      <w:pPr>
        <w:pStyle w:val="Intertitre"/>
      </w:pPr>
      <w:r>
        <w:t xml:space="preserve">Clause optionnelle : Absence de liquidation</w:t>
      </w:r>
    </w:p>
    <w:p>
      <w:pPr>
        <w:pStyle w:val="Corps"/>
      </w:pPr>
      <w:r>
        <w:t xml:space="preserve">Aucun liquidateur n'est nommé; les opérations de liquidation et de partage sont exclues de la présente décision. La gestion demeure assurée selon les pouvoirs applicables jusqu'à la disparition; aucun acte ne doit présenter un liquidateur, un partage ou une clôture de liquidation inexistants.</w:t>
      </w:r>
    </w:p>
    <w:p>
      <w:pPr>
        <w:pStyle w:val="Intertitre"/>
      </w:pPr>
      <w:r>
        <w:t xml:space="preserve">Clause optionnelle : Déclaration au registre</w:t>
      </w:r>
    </w:p>
    <w:p>
      <w:pPr>
        <w:pStyle w:val="Corps"/>
      </w:pPr>
      <w:r>
        <w:t xml:space="preserve">Tous pouvoirs sont donnés afin que la décision soit déposée selon [Dépôt de la décision au registre] et que la dissolution soit inscrite selon [Inscription de la dissolution]. Le mandataire conserve récépissé, copie déposée et concordance des mentions; toute demande de régularisation matérielle est traitée sans modifier le contenu de la décision.</w:t>
      </w:r>
    </w:p>
    <w:p>
      <w:pPr>
        <w:pStyle w:val="Intertitre"/>
      </w:pPr>
      <w:r>
        <w:t xml:space="preserve">Clause optionnelle : Publication au BODACC</w:t>
      </w:r>
    </w:p>
    <w:p>
      <w:pPr>
        <w:pStyle w:val="Corps"/>
      </w:pPr>
      <w:r>
        <w:t xml:space="preserve">La dissolution est publiée au BODACC sous [Référence de publication au BODACC] le [Date de publication au BODACC]; cette publication constitue le point de départ du délai d'opposition. La référence, le contenu et la date effective de publication sont vérifiés sur la preuve officielle; une demande de publication ou un projet d'avis ne déclenche pas le délai.</w:t>
      </w:r>
    </w:p>
    <w:p>
      <w:pPr>
        <w:pStyle w:val="Intertitre"/>
      </w:pPr>
      <w:r>
        <w:t xml:space="preserve">Clause optionnelle : Délai d'opposition</w:t>
      </w:r>
    </w:p>
    <w:p>
      <w:pPr>
        <w:pStyle w:val="Corps"/>
      </w:pPr>
      <w:r>
        <w:t xml:space="preserve">Les créanciers disposent du délai officiel de [Délai légal d'opposition en jours] jours à compter de la publication, expirant le [Date de fin du délai d'opposition]. Le nombre de jours provient du resolver officiel versionné et l'échéance est rapprochée de la publication réelle; aucun calcul n'est inféré d'une date de projet.</w:t>
      </w:r>
    </w:p>
    <w:p>
      <w:pPr>
        <w:pStyle w:val="Intertitre"/>
      </w:pPr>
      <w:r>
        <w:t xml:space="preserve">Créanciers</w:t>
      </w:r>
    </w:p>
    <w:p>
      <w:pPr>
        <w:pStyle w:val="Corps"/>
      </w:pPr>
      <w:r>
        <w:t xml:space="preserve">Les créanciers et créances susceptibles d'être concernés sont recensés dans [Inventaire des créanciers]. Cet inventaire distingue les créances échues ou à échoir, contestées, garanties, fiscales, sociales et hors bilan; il identifie les pièces de solde et les coordonnées utiles sans limiter le droit d'opposition d'un créancier omis ni le caractère universel de la transmission.</w:t>
      </w:r>
    </w:p>
    <w:p>
      <w:pPr>
        <w:pStyle w:val="Intertitre"/>
      </w:pPr>
      <w:r>
        <w:t xml:space="preserve"> — choisir une seule variante</w:t>
      </w:r>
    </w:p>
    <w:p>
      <w:pPr>
        <w:pStyle w:val="Variante"/>
      </w:pPr>
      <w:r>
        <w:t xml:space="preserve">Variante : Condition suspensive légale</w:t>
      </w:r>
    </w:p>
    <w:p>
      <w:pPr>
        <w:pStyle w:val="Corps"/>
      </w:pPr>
      <w:r>
        <w:t xml:space="preserve">La transmission et la disparition de la personne morale ne seront réalisées qu'à l'issue du délai légal d'opposition ou après le traitement définitif d'une opposition dans les conditions légales. Avant cette échéance, la société conserve sa personnalité et l'associé unique ne peut présenter les actifs comme définitivement transmis ni demander la radiation sur la seule décision.</w:t>
      </w:r>
    </w:p>
    <w:p>
      <w:pPr>
        <w:pStyle w:val="Variante"/>
      </w:pPr>
      <w:r>
        <w:t xml:space="preserve">Variante : Absence d'opposition</w:t>
      </w:r>
    </w:p>
    <w:p>
      <w:pPr>
        <w:pStyle w:val="Corps"/>
      </w:pPr>
      <w:r>
        <w:t xml:space="preserve">Le délai légal a expiré sans opposition; la condition prévue pour la réalisation est satisfaite au vu de [Preuve de réalisation des conditions légales]. La preuve comprend la date de consultation du registre ou l'attestation pertinente, l'absence de procédure reçue et le calcul du délai; un silence non vérifié ne suffit pas.</w:t>
      </w:r>
    </w:p>
    <w:p>
      <w:pPr>
        <w:pStyle w:val="Variante"/>
      </w:pPr>
      <w:r>
        <w:t xml:space="preserve">Variante : Opposition rejetée</w:t>
      </w:r>
    </w:p>
    <w:p>
      <w:pPr>
        <w:pStyle w:val="Corps"/>
      </w:pPr>
      <w:r>
        <w:t xml:space="preserve">L'opposition [Oppositions reçues] a été rejetée en première instance selon [Décision rejetant l'opposition]; cette décision satisfait la condition légale de réalisation. La décision, son caractère exécutoire et son périmètre sont contrôlés; un recours ou une mesure suspendant ses effets est signalé avant tout constat de réalisation.</w:t>
      </w:r>
    </w:p>
    <w:p>
      <w:pPr>
        <w:pStyle w:val="Variante"/>
      </w:pPr>
      <w:r>
        <w:t xml:space="preserve">Variante : Créance remboursée</w:t>
      </w:r>
    </w:p>
    <w:p>
      <w:pPr>
        <w:pStyle w:val="Corps"/>
      </w:pPr>
      <w:r>
        <w:t xml:space="preserve">La créance objet de l'opposition [Oppositions reçues] a été remboursée au vu de [Preuve de remboursement des créances]; la condition légale de réalisation est satisfaite. Le paiement identifie créancier, créance, montant, date, compte et quittance; une proposition, consignation non acceptée ou paiement partiel ne vaut pas purge complète.</w:t>
      </w:r>
    </w:p>
    <w:p>
      <w:pPr>
        <w:pStyle w:val="Variante"/>
      </w:pPr>
      <w:r>
        <w:t xml:space="preserve">Variante : Garanties constituées</w:t>
      </w:r>
    </w:p>
    <w:p>
      <w:pPr>
        <w:pStyle w:val="Corps"/>
      </w:pPr>
      <w:r>
        <w:t xml:space="preserve">L'opposition [Oppositions reçues] a donné lieu aux garanties [Garanties constituées au profit des créanciers], jugées suffisantes par la décision applicable; la condition légale de réalisation est satisfaite. La garantie est rapprochée de l'ordonnance ou de l'accord applicable, de son émetteur, montant, durée et prise d'effet; une garantie projetée ne suffit pas.</w:t>
      </w:r>
    </w:p>
    <w:p>
      <w:pPr>
        <w:pStyle w:val="Variante"/>
      </w:pPr>
      <w:r>
        <w:t xml:space="preserve">Variante : Opposition en cours</w:t>
      </w:r>
    </w:p>
    <w:p>
      <w:pPr>
        <w:pStyle w:val="Corps"/>
      </w:pPr>
      <w:r>
        <w:t xml:space="preserve">L'opposition [Oppositions reçues] n'est pas purgée; la transmission et la disparition de la personne morale ne peuvent pas être constatées. Le dossier demeure bloqué jusqu'à rejet en première instance, remboursement ou constitution des garanties ordonnées; les formalités préparatoires ne valent pas réalisation.</w:t>
      </w:r>
    </w:p>
    <w:p>
      <w:pPr>
        <w:pStyle w:val="Intertitre"/>
      </w:pPr>
      <w:r>
        <w:t xml:space="preserve">Clause optionnelle : Réalisation de la transmission</w:t>
      </w:r>
    </w:p>
    <w:p>
      <w:pPr>
        <w:pStyle w:val="Corps"/>
      </w:pPr>
      <w:r>
        <w:t xml:space="preserve">La transmission universelle et la disparition de la personne morale prennent effet le [Date de réalisation de la TUP] au vu de [Preuve de réalisation des conditions légales]. La date est justifiée par la dernière condition légalement satisfaite et distinguée des dates comptable, fiscale, sociale et d'opposabilité propres à certains éléments.</w:t>
      </w:r>
    </w:p>
    <w:p>
      <w:pPr>
        <w:pStyle w:val="Intertitre"/>
      </w:pPr>
      <w:r>
        <w:t xml:space="preserve">Universalité transmise</w:t>
      </w:r>
    </w:p>
    <w:p>
      <w:pPr>
        <w:pStyle w:val="Corps"/>
      </w:pPr>
      <w:r>
        <w:t xml:space="preserve">À la réalisation, l'associé unique recueille l'ensemble des actifs, passifs, droits, obligations, sûretés, contrats et procédures transmissibles dans l'état où ils se trouvent. Les inventaires annexés organisent l'identification, la remise et le suivi des éléments transmis mais ne fractionnent pas l'universalité et ne constituent ni une garantie d'exhaustivité ni une exclusion implicite d'un élément omis.</w:t>
      </w:r>
    </w:p>
    <w:p>
      <w:pPr>
        <w:pStyle w:val="Intertitre"/>
      </w:pPr>
      <w:r>
        <w:t xml:space="preserve">Actifs</w:t>
      </w:r>
    </w:p>
    <w:p>
      <w:pPr>
        <w:pStyle w:val="Corps"/>
      </w:pPr>
      <w:r>
        <w:t xml:space="preserve">Le périmètre des actifs compris dans l'universalité est décrit par [Inventaire des actifs transmis], notamment [Trésorerie et créances transmises]. L'inventaire précise pour chaque catégorie la pièce d'existence, la valeur comptable disponible, le détenteur ou dépositaire, les restrictions de transfert connues et la formalité nécessaire à la continuité ou à l'opposabilité du droit.</w:t>
      </w:r>
    </w:p>
    <w:p>
      <w:pPr>
        <w:pStyle w:val="Intertitre"/>
      </w:pPr>
      <w:r>
        <w:t xml:space="preserve">Passifs</w:t>
      </w:r>
    </w:p>
    <w:p>
      <w:pPr>
        <w:pStyle w:val="Corps"/>
      </w:pPr>
      <w:r>
        <w:t xml:space="preserve">Le périmètre des passifs compris dans l'universalité est décrit par [Inventaire des passifs transmis], notamment [Dettes financières transmises] et [Dettes fiscales et sociales transmises]. L'inventaire rapproche chaque dette de son créancier, de son échéance, de sa pièce justificative, de ses garanties et de toute contestation ou provision, sans subordonner la transmission à sa seule inscription comptable.</w:t>
      </w:r>
    </w:p>
    <w:p>
      <w:pPr>
        <w:pStyle w:val="Intertitre"/>
      </w:pPr>
      <w:r>
        <w:t xml:space="preserve">Engagements hors bilan</w:t>
      </w:r>
    </w:p>
    <w:p>
      <w:pPr>
        <w:pStyle w:val="Corps"/>
      </w:pPr>
      <w:r>
        <w:t xml:space="preserve">Les garanties, engagements et risques hors bilan compris dans l'opération sont [Engagements hors bilan]. Chaque engagement indique bénéficiaire, objet, montant maximal, échéance, fait générateur, contre-garantie et pièce; son omission n'empêche pas sa transmission mais déclenche une régularisation.</w:t>
      </w:r>
    </w:p>
    <w:p>
      <w:pPr>
        <w:pStyle w:val="Intertitre"/>
      </w:pPr>
      <w:r>
        <w:t xml:space="preserve">Sûretés</w:t>
      </w:r>
    </w:p>
    <w:p>
      <w:pPr>
        <w:pStyle w:val="Corps"/>
      </w:pPr>
      <w:r>
        <w:t xml:space="preserve">Les sûretés données ou reçues et leur sort sont [Sûretés données et reçues]. Pour chaque sûreté sont identifiés créancier, assiette, rang, durée, dette garantie et formalité de maintien ou substitution; aucune mainlevée future n'est présentée comme obtenue.</w:t>
      </w:r>
    </w:p>
    <w:p>
      <w:pPr>
        <w:pStyle w:val="Intertitre"/>
      </w:pPr>
      <w:r>
        <w:t xml:space="preserve">Comptes intragroupe</w:t>
      </w:r>
    </w:p>
    <w:p>
      <w:pPr>
        <w:pStyle w:val="Corps"/>
      </w:pPr>
      <w:r>
        <w:t xml:space="preserve">Les comptes réciproques et leur traitement par confusion ou règlement sont [Comptes entre l'associé unique et la société dissoute]. Le rapprochement distingue créances, dettes, intérêts, conventions, soldes contestés et flux postérieurs; confusion, règlement ou maintien est traité avec ses conséquences comptables et fiscales.</w:t>
      </w:r>
    </w:p>
    <w:p>
      <w:pPr>
        <w:pStyle w:val="Intertitre"/>
      </w:pPr>
      <w:r>
        <w:t xml:space="preserve">Clause optionnelle : Litiges</w:t>
      </w:r>
    </w:p>
    <w:p>
      <w:pPr>
        <w:pStyle w:val="Corps"/>
      </w:pPr>
      <w:r>
        <w:t xml:space="preserve">Les litiges, procédures et provisions transmis sont [Litiges et procédures transmis]. Chaque procédure précise parties, juridiction, prétentions, provision, conseil, calendrier, mandat de conduite et répartition des coûts après transmission.</w:t>
      </w:r>
    </w:p>
    <w:p>
      <w:pPr>
        <w:pStyle w:val="Intertitre"/>
      </w:pPr>
      <w:r>
        <w:t xml:space="preserve">Livres et archives</w:t>
      </w:r>
    </w:p>
    <w:p>
      <w:pPr>
        <w:pStyle w:val="Corps"/>
      </w:pPr>
      <w:r>
        <w:t xml:space="preserve">La remise des livres, archives, accès et données est organisée selon [Remise des livres, archives et données]. Un bordereau contradictoire recense originaux, copies, formats, historiques, accès et durées de conservation; les archives non remises restent accessibles selon une obligation de coopération.</w:t>
      </w:r>
    </w:p>
    <w:p>
      <w:pPr>
        <w:pStyle w:val="Intertitre"/>
      </w:pPr>
      <w:r>
        <w:t xml:space="preserve">Clause optionnelle : Immeubles</w:t>
      </w:r>
    </w:p>
    <w:p>
      <w:pPr>
        <w:pStyle w:val="Corps"/>
      </w:pPr>
      <w:r>
        <w:t xml:space="preserve">Les immeubles et droits immobiliers sont [Immeubles et droits immobiliers transmis]; les formalités foncières sont [Formalités de publicité foncière]. Les références cadastrales, titres, servitudes, baux, sûretés et diagnostics sont rapprochés des actes; publicité foncière, attestations et pouvoirs notariés sont suivis séparément.</w:t>
      </w:r>
    </w:p>
    <w:p>
      <w:pPr>
        <w:pStyle w:val="Intertitre"/>
      </w:pPr>
      <w:r>
        <w:t xml:space="preserve">Clause optionnelle : Baux commerciaux</w:t>
      </w:r>
    </w:p>
    <w:p>
      <w:pPr>
        <w:pStyle w:val="Corps"/>
      </w:pPr>
      <w:r>
        <w:t xml:space="preserve">Les baux [Baux commerciaux transmis] sont transmis et la substitution est opérée selon [Mesures de substitution dans les baux]. Chaque bail mentionne parties, locaux, destination, durée, loyer, dépôt, garanties, incidents et notification; la continuité contractuelle n'efface pas les formalités ou clauses applicables.</w:t>
      </w:r>
    </w:p>
    <w:p>
      <w:pPr>
        <w:pStyle w:val="Intertitre"/>
      </w:pPr>
      <w:r>
        <w:t xml:space="preserve">Clause optionnelle : Contrats</w:t>
      </w:r>
    </w:p>
    <w:p>
      <w:pPr>
        <w:pStyle w:val="Corps"/>
      </w:pPr>
      <w:r>
        <w:t xml:space="preserve">Le périmètre contractuel est [Contrats transmis]; les notifications ou consentements nécessaires sont [Notifications et consentements contractuels]. L'inventaire indique parties, date, objet, échéance, solde et clauses de dissolution, intuitu personae ou changement de contrôle; notifications et consentements sont distingués.</w:t>
      </w:r>
    </w:p>
    <w:p>
      <w:pPr>
        <w:pStyle w:val="Intertitre"/>
      </w:pPr>
      <w:r>
        <w:t xml:space="preserve">Clause optionnelle : Propriété intellectuelle</w:t>
      </w:r>
    </w:p>
    <w:p>
      <w:pPr>
        <w:pStyle w:val="Corps"/>
      </w:pPr>
      <w:r>
        <w:t xml:space="preserve">Les droits, licences et inscriptions compris dans l'universalité sont [Droits de propriété intellectuelle transmis]. Chaque droit précise titulaire, numéro, territoire, durée, licence, copropriété et inscription; noms de domaine, logiciels et éléments non enregistrés sont également rapprochés.</w:t>
      </w:r>
    </w:p>
    <w:p>
      <w:pPr>
        <w:pStyle w:val="Intertitre"/>
      </w:pPr>
      <w:r>
        <w:t xml:space="preserve">Clause optionnelle : Autorisations et agréments</w:t>
      </w:r>
    </w:p>
    <w:p>
      <w:pPr>
        <w:pStyle w:val="Corps"/>
      </w:pPr>
      <w:r>
        <w:t xml:space="preserve">Les autorisations sont [Autorisations et agréments transmis] et leur transfert ou renouvellement suit [Autorisations sectorielles requises]. Titulaire, activité, territoire, durée, conditions de transfert et autorité sont vérifiés; une notification, un renouvellement ou un agrément futur ne sont pas assimilés.</w:t>
      </w:r>
    </w:p>
    <w:p>
      <w:pPr>
        <w:pStyle w:val="Intertitre"/>
      </w:pPr>
      <w:r>
        <w:t xml:space="preserve">Clause optionnelle : Éléments étrangers</w:t>
      </w:r>
    </w:p>
    <w:p>
      <w:pPr>
        <w:pStyle w:val="Corps"/>
      </w:pPr>
      <w:r>
        <w:t xml:space="preserve">Les éléments situés hors de France sont [Actifs et passifs situés à l'étranger] et les formalités locales [Formalités étrangères]. Pour chaque État, le conseil local, l'acte, la traduction, la fiscalité et la formalité d'opposabilité sont identifiés; l'effet français n'est pas extrapolé automatiquement.</w:t>
      </w:r>
    </w:p>
    <w:p>
      <w:pPr>
        <w:pStyle w:val="Intertitre"/>
      </w:pPr>
      <w:r>
        <w:t xml:space="preserve">Données personnelles</w:t>
      </w:r>
    </w:p>
    <w:p>
      <w:pPr>
        <w:pStyle w:val="Corps"/>
      </w:pPr>
      <w:r>
        <w:t xml:space="preserve">La continuité des traitements, l'information et la sécurité suivent [Mesures relatives aux données personnelles]. Les finalités, bases, catégories, personnes, destinataires, durées, accès et mesures de sécurité sont recensés; information, minimisation et continuité des droits sont organisées.</w:t>
      </w:r>
    </w:p>
    <w:p>
      <w:pPr>
        <w:pStyle w:val="Intertitre"/>
      </w:pPr>
      <w:r>
        <w:t xml:space="preserve">Clause optionnelle : Contrats de travail</w:t>
      </w:r>
    </w:p>
    <w:p>
      <w:pPr>
        <w:pStyle w:val="Corps"/>
      </w:pPr>
      <w:r>
        <w:t xml:space="preserve">Pour les salariés identifiés dans [Salariés concernés], les contrats de travail en cours se poursuivent selon [Modalités de transfert des contrats de travail]. La liste précise emploi, ancienneté, rémunération, absence, protection et passifs associés; la poursuite est distinguée des obligations d'information et du traitement collectif.</w:t>
      </w:r>
    </w:p>
    <w:p>
      <w:pPr>
        <w:pStyle w:val="Intertitre"/>
      </w:pPr>
      <w:r>
        <w:t xml:space="preserve">Clause optionnelle : Information-consultation</w:t>
      </w:r>
    </w:p>
    <w:p>
      <w:pPr>
        <w:pStyle w:val="Corps"/>
      </w:pPr>
      <w:r>
        <w:t xml:space="preserve">Les diligences d'information-consultation des représentants du personnel sont retracées dans [Information-consultation des représentants du personnel]. La compétence de l'instance, les informations, réunions, avis, dates et preuves sont retracés; aucune consultation projetée n'est présentée comme achevée.</w:t>
      </w:r>
    </w:p>
    <w:p>
      <w:pPr>
        <w:pStyle w:val="Intertitre"/>
      </w:pPr>
      <w:r>
        <w:t xml:space="preserve">Clause optionnelle : Statut collectif</w:t>
      </w:r>
    </w:p>
    <w:p>
      <w:pPr>
        <w:pStyle w:val="Corps"/>
      </w:pPr>
      <w:r>
        <w:t xml:space="preserve">Le traitement du statut collectif est décrit dans [Traitement du statut collectif]; les obligations sociales transférées ou à régulariser sont recensées dans [Obligations envers les salariés].</w:t>
      </w:r>
    </w:p>
    <w:p>
      <w:pPr>
        <w:pStyle w:val="Intertitre"/>
      </w:pPr>
      <w:r>
        <w:t xml:space="preserve"> — choisir une seule variante</w:t>
      </w:r>
    </w:p>
    <w:p>
      <w:pPr>
        <w:pStyle w:val="Variante"/>
      </w:pPr>
      <w:r>
        <w:t xml:space="preserve">Variante : Fiscalité de droit commun</w:t>
      </w:r>
    </w:p>
    <w:p>
      <w:pPr>
        <w:pStyle w:val="Corps"/>
      </w:pPr>
      <w:r>
        <w:t xml:space="preserve">Les conséquences fiscales de droit commun et la date [Date d'effet fiscal] sont [Analyse fiscale de droit commun]. L'analyse couvre résultats, plus-values, provisions, déficits, retenues et obligations de chaque société à la date applicable, sans présenter une neutralité comme acquise.</w:t>
      </w:r>
    </w:p>
    <w:p>
      <w:pPr>
        <w:pStyle w:val="Variante"/>
      </w:pPr>
      <w:r>
        <w:t xml:space="preserve">Variante : Régime spécial des fusions</w:t>
      </w:r>
    </w:p>
    <w:p>
      <w:pPr>
        <w:pStyle w:val="Corps"/>
      </w:pPr>
      <w:r>
        <w:t xml:space="preserve">L'éligibilité repose sur [Analyse d'éligibilité au régime spécial] et les motifs économiques; l'associé unique souscrit [Engagements fiscaux de l'associé unique]. Les conditions, engagements, motifs économiques, valeurs et suivi sont vérifiés sur les textes en vigueur; toute réserve ou agrément nécessaire est signalé avant option.</w:t>
      </w:r>
    </w:p>
    <w:p>
      <w:pPr>
        <w:pStyle w:val="Intertitre"/>
      </w:pPr>
      <w:r>
        <w:t xml:space="preserve">Déficits et attributs fiscaux</w:t>
      </w:r>
    </w:p>
    <w:p>
      <w:pPr>
        <w:pStyle w:val="Corps"/>
      </w:pPr>
      <w:r>
        <w:t xml:space="preserve">Le traitement des déficits et autres attributs est [Traitement des déficits et attributs fiscaux]; tout transfert de plein droit ou sur agrément est établi par [Agrément fiscal éventuel].</w:t>
      </w:r>
    </w:p>
    <w:p>
      <w:pPr>
        <w:pStyle w:val="Intertitre"/>
      </w:pPr>
      <w:r>
        <w:t xml:space="preserve">Clause optionnelle : Taxe sur la valeur ajoutée</w:t>
      </w:r>
    </w:p>
    <w:p>
      <w:pPr>
        <w:pStyle w:val="Corps"/>
      </w:pPr>
      <w:r>
        <w:t xml:space="preserve">Le traitement de l'universalité et les obligations de continuité sont [Analyse TVA de l'universalité]. L'analyse vérifie l'universalité transmise, la qualité du bénéficiaire, la continuité d'exploitation et les régularisations; le seul caractère universel civil ne suffit pas.</w:t>
      </w:r>
    </w:p>
    <w:p>
      <w:pPr>
        <w:pStyle w:val="Intertitre"/>
      </w:pPr>
      <w:r>
        <w:t xml:space="preserve">Enregistrement</w:t>
      </w:r>
    </w:p>
    <w:p>
      <w:pPr>
        <w:pStyle w:val="Corps"/>
      </w:pPr>
      <w:r>
        <w:t xml:space="preserve">Le régime des droits d'enregistrement et les formalités correspondantes sont établis par [Analyse des droits d'enregistrement]. La base, le tarif, le service, le délai, le redevable et la preuve de présentation sont déterminés à partir de l'analyse vérifiée, sans montant légal prérempli.</w:t>
      </w:r>
    </w:p>
    <w:p>
      <w:pPr>
        <w:pStyle w:val="Intertitre"/>
      </w:pPr>
      <w:r>
        <w:t xml:space="preserve">Déclarations fiscales</w:t>
      </w:r>
    </w:p>
    <w:p>
      <w:pPr>
        <w:pStyle w:val="Corps"/>
      </w:pPr>
      <w:r>
        <w:t xml:space="preserve">Les déclarations, états et registres sont [Déclarations et états fiscaux]. Le calendrier identifie formulaire, annexe, signataire, service, échéance et preuve de dépôt; les obligations de la société dissoute et de l'associé unique sont séparées.</w:t>
      </w:r>
    </w:p>
    <w:p>
      <w:pPr>
        <w:pStyle w:val="Intertitre"/>
      </w:pPr>
      <w:r>
        <w:t xml:space="preserve">Clause optionnelle : Radiation et inscriptions</w:t>
      </w:r>
    </w:p>
    <w:p>
      <w:pPr>
        <w:pStyle w:val="Corps"/>
      </w:pPr>
      <w:r>
        <w:t xml:space="preserve">La réalisation et la disparition de la société sont inscrites selon [Inscription de la réalisation et radiation]. La demande de radiation joint décision, publicité et preuve de purge; le récépissé et les inscriptions corrélatives sont conservés sans anticiper la date officielle.</w:t>
      </w:r>
    </w:p>
    <w:p>
      <w:pPr>
        <w:pStyle w:val="Intertitre"/>
      </w:pPr>
      <w:r>
        <w:t xml:space="preserve">Clause optionnelle : Notifications postérieures</w:t>
      </w:r>
    </w:p>
    <w:p>
      <w:pPr>
        <w:pStyle w:val="Corps"/>
      </w:pPr>
      <w:r>
        <w:t xml:space="preserve">Les notifications consécutives à la réalisation auprès des banques, cocontractants, administrations et registres sont accomplies selon [Notifications postérieures à la réalisation]. Chaque notification précise destinataire, objet, pièce, responsable, date et preuve; les contrats ou droits exigeant une formalité spéciale sont suivis jusqu'à confirmation.</w:t>
      </w:r>
    </w:p>
    <w:p>
      <w:pPr>
        <w:pStyle w:val="Intertitre"/>
      </w:pPr>
      <w:r>
        <w:t xml:space="preserve">Frais</w:t>
      </w:r>
    </w:p>
    <w:p>
      <w:pPr>
        <w:pStyle w:val="Corps"/>
      </w:pPr>
      <w:r>
        <w:t xml:space="preserve">Les frais, droits et honoraires sont supportés selon [Frais et honoraires]. La répartition distingue publications, registre, fiscalité, immobilier, conseils et frais étrangers; elle ne préjuge ni de leur déductibilité ni de la responsabilité d'un retard.</w:t>
      </w:r>
    </w:p>
    <w:p>
      <w:pPr>
        <w:pStyle w:val="Intertitre"/>
      </w:pPr>
      <w:r>
        <w:t xml:space="preserve">Pouvoirs pour formalités</w:t>
      </w:r>
    </w:p>
    <w:p>
      <w:pPr>
        <w:pStyle w:val="Corps"/>
      </w:pPr>
      <w:r>
        <w:t xml:space="preserve">Tous pouvoirs sont conférés selon [Pouvoirs pour formalités] pour accomplir dépôts, publicités et inscriptions. Le mandat est limité aux copies, formulaires, publications, inscriptions et corrections matérielles; il n'autorise ni modification du patrimoine transmis ni renonciation à un droit.</w:t>
      </w:r>
    </w:p>
    <w:p>
      <w:pPr>
        <w:pStyle w:val="Intertitre"/>
      </w:pPr>
      <w:r>
        <w:t xml:space="preserve">Clause optionnelle : Annexes à la décision</w:t>
      </w:r>
    </w:p>
    <w:p>
      <w:pPr>
        <w:pStyle w:val="Corps"/>
      </w:pPr>
      <w:r>
        <w:t xml:space="preserve">Les preuves de détention, pouvoirs, inventaires patrimoniaux et analyses arrêtées pour la décision sont [Inventaire des annexes]. Chaque annexe est numérotée, datée, figée et rapprochée du bloc concerné; toute divergence entre détention, pouvoirs, inventaires et décision bloque la signature.</w:t>
      </w:r>
    </w:p>
    <w:p>
      <w:pPr>
        <w:pStyle w:val="Intertitre"/>
      </w:pPr>
      <w:r>
        <w:t xml:space="preserve">Clause optionnelle : Annexes au constat de réalisation</w:t>
      </w:r>
    </w:p>
    <w:p>
      <w:pPr>
        <w:pStyle w:val="Corps"/>
      </w:pPr>
      <w:r>
        <w:t xml:space="preserve">La décision de dissolution, la publication au BODACC, les preuves de purge ou de traitement des oppositions et les justificatifs de réalisation sont [Inventaire des annexes]. Le dossier distingue pièces existantes et formalités futures; chaque preuve de purge, remboursement, garantie ou rejet est contrôlée avant d'être citée dans le constat.</w:t>
      </w:r>
    </w:p>
    <w:p>
      <w:pPr>
        <w:pStyle w:val="Intertitre"/>
      </w:pPr>
      <w:r>
        <w:t xml:space="preserve">Clause optionnelle : Signature de la décision</w:t>
      </w:r>
    </w:p>
    <w:p>
      <w:pPr>
        <w:pStyle w:val="Corps"/>
      </w:pPr>
      <w:r>
        <w:t xml:space="preserve">La décision est signée par [Nom du signataire habilité], en qualité de [Qualité du signataire], représentant habilité de l'associé unique. Le signataire vérifie le texte, les annexes et l'absence de valeur inventée; la date et le lieu sont renseignés depuis l'acte, sans signature contractuelle de la société dissoute.</w:t>
      </w:r>
    </w:p>
    <w:p>
      <w:pPr>
        <w:pStyle w:val="Intertitre"/>
      </w:pPr>
      <w:r>
        <w:t xml:space="preserve">Clause optionnelle : Signature du constat de réalisation</w:t>
      </w:r>
    </w:p>
    <w:p>
      <w:pPr>
        <w:pStyle w:val="Corps"/>
      </w:pPr>
      <w:r>
        <w:t xml:space="preserve">Le présent constat est signé par [Nom du signataire habilité], en qualité de [Qualité du signataire], représentant habilité de l'associé unique. La signature intervient après contrôle de toutes les conditions et du certificat; elle ne transforme pas une opposition pendante ni un justificatif incomplet en réalisation acquise.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