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ACCORD D'INTÉRESSEMENT</w:t>
      </w:r>
    </w:p>
    <w:p>
      <w:pPr>
        <w:pStyle w:val="Intertitre"/>
      </w:pPr>
      <w:r>
        <w:t xml:space="preserve">Accord d'intéressement</w:t>
      </w:r>
    </w:p>
    <w:p>
      <w:pPr>
        <w:pStyle w:val="Corps"/>
      </w:pPr>
      <w:r>
        <w:t xml:space="preserve">Accord d'intéressement de [Employeur légal nom] pour la période du [Accord début date] au [Accord fin date]. Le présent accord organise, pour ce seul périmètre et cette seule période, les conditions de calcul, de répartition, d'information et de versement de l'intéressement.</w:t>
      </w:r>
    </w:p>
    <w:p>
      <w:pPr>
        <w:pStyle w:val="Intertitre"/>
      </w:pPr>
      <w:r>
        <w:t xml:space="preserve">Identification de l'entreprise</w:t>
      </w:r>
    </w:p>
    <w:p>
      <w:pPr>
        <w:pStyle w:val="Corps"/>
      </w:pPr>
      <w:r>
        <w:t xml:space="preserve">L'entreprise [Employeur légal nom], [Employeur légal form], dont le siège est situé [Employeur registered office], immatriculée sous le numéro [Employeur registration number], est représentée par [Employeur représentant nom] agissant en qualité de [Employeur représentant qualité] et dûment habilité selon [Employeur autorité compte-rendu]. L'habilitation du représentant s'apprécie à la date de signature et la pièce qui l'établit est conservée avec l'accord. Toute évolution ultérieure de la dénomination, de la forme ou du siège est signalée aux signataires sans modifier à elle seule le périmètre convenu.</w:t>
      </w:r>
    </w:p>
    <w:p>
      <w:pPr>
        <w:pStyle w:val="Intertitre"/>
      </w:pPr>
      <w:r>
        <w:t xml:space="preserve"> — choisir une seule variante</w:t>
      </w:r>
    </w:p>
    <w:p>
      <w:pPr>
        <w:pStyle w:val="Variante"/>
      </w:pPr>
      <w:r>
        <w:t xml:space="preserve">Variante : Accord collectif de travail</w:t>
      </w:r>
    </w:p>
    <w:p>
      <w:pPr>
        <w:pStyle w:val="Corps"/>
      </w:pPr>
      <w:r>
        <w:t xml:space="preserve">Le présent accord est conclu avec [Collective accord signatories] selon [Collective accord signature fondement]. L'identité, la qualité et le pouvoir de chaque signataire sont constatés dans l'acte de signature. La date de conclusion retenue est celle à laquelle toutes les signatures nécessaires ont été recueillies.</w:t>
      </w:r>
    </w:p>
    <w:p>
      <w:pPr>
        <w:pStyle w:val="Variante"/>
      </w:pPr>
      <w:r>
        <w:t xml:space="preserve">Variante : Accord avec les représentants syndicaux</w:t>
      </w:r>
    </w:p>
    <w:p>
      <w:pPr>
        <w:pStyle w:val="Corps"/>
      </w:pPr>
      <w:r>
        <w:t xml:space="preserve">Le présent accord est conclu entre l'employeur et [Syndicale représentants] représentant [Représentant unions], sur justification des mandats [Syndicale mandate compte-rendu]. La représentativité des organisations et l'étendue de chaque mandat sont appréciées au jour de la signature. Les pouvoirs et les éventuelles réserves formulées lors de la négociation sont annexés ou référencés de manière traçable.</w:t>
      </w:r>
    </w:p>
    <w:p>
      <w:pPr>
        <w:pStyle w:val="Variante"/>
      </w:pPr>
      <w:r>
        <w:t xml:space="preserve">Variante : Accord conclu au sein du CSE</w:t>
      </w:r>
    </w:p>
    <w:p>
      <w:pPr>
        <w:pStyle w:val="Corps"/>
      </w:pPr>
      <w:r>
        <w:t xml:space="preserve">Le présent accord est conclu au sein du comité social et économique selon la délibération [Cse deliberation compte-rendu] et signé par [Cse signatories]. La délibération précise le texte soumis, le résultat du vote, les membres ayant pris part à la décision et l'habilitation des signataires. Son procès-verbal est conservé avec l'exemplaire original de l'accord.</w:t>
      </w:r>
    </w:p>
    <w:p>
      <w:pPr>
        <w:pStyle w:val="Variante"/>
      </w:pPr>
      <w:r>
        <w:t xml:space="preserve">Variante : Ratification par le personnel</w:t>
      </w:r>
    </w:p>
    <w:p>
      <w:pPr>
        <w:pStyle w:val="Corps"/>
      </w:pPr>
      <w:r>
        <w:t xml:space="preserve">Le projet proposé par l'employeur a été ratifié par le personnel selon [Ratification compte-rendu] ; les conditions d'initiative et de majorité sont établies par [Ratification compliance compte-rendu]. Le texte soumis au vote est identique au présent accord. Le procès-verbal retrace le corps électoral, les modalités du scrutin, le nombre de suffrages exprimés et l'atteinte de la majorité requise, sans révéler le vote individuel.</w:t>
      </w:r>
    </w:p>
    <w:p>
      <w:pPr>
        <w:pStyle w:val="Intertitre"/>
      </w:pPr>
      <w:r>
        <w:t xml:space="preserve">Motifs de l'accord</w:t>
      </w:r>
    </w:p>
    <w:p>
      <w:pPr>
        <w:pStyle w:val="Corps"/>
      </w:pPr>
      <w:r>
        <w:t xml:space="preserve">Les parties instituent l'intéressement afin de [Accord motives] et retiennent les objectifs collectifs [Collective objectives]. Ces objectifs sont appréciés à l'échelle du périmètre retenu et ne constituent ni un engagement de résultat de l'employeur ni une garantie de prime pour les bénéficiaires.</w:t>
      </w:r>
    </w:p>
    <w:p>
      <w:pPr>
        <w:pStyle w:val="Intertitre"/>
      </w:pPr>
      <w:r>
        <w:t xml:space="preserve">Choix de la formule</w:t>
      </w:r>
    </w:p>
    <w:p>
      <w:pPr>
        <w:pStyle w:val="Corps"/>
      </w:pPr>
      <w:r>
        <w:t xml:space="preserve">Le choix de la formule repose sur [Calcul choice reasons], compte tenu de [Business model factors] et des données objectivement vérifiables [Available measurement sources]. Les parties déclarent que les indicateurs choisis sont intelligibles, auditables et cohérents avec l'activité mesurée. Elles écartent tout critère dont la détermination dépendrait d'une décision discrétionnaire prise après la clôture de la période.</w:t>
      </w:r>
    </w:p>
    <w:p>
      <w:pPr>
        <w:pStyle w:val="Intertitre"/>
      </w:pPr>
      <w:r>
        <w:t xml:space="preserve">Choix de la répartition</w:t>
      </w:r>
    </w:p>
    <w:p>
      <w:pPr>
        <w:pStyle w:val="Corps"/>
      </w:pPr>
      <w:r>
        <w:t xml:space="preserve">Les critères de répartition ont été retenus pour [Attribution choice reasons] et leur articulation est justifiée par [Attribution fairness compte-rendu]. Les critères s'appliquent à tous les bénéficiaires placés dans une situation comparable. Leur pondération, leur assiette et les règles d'arrondi demeurent inchangées pendant la période considérée, sauf révision régulière de l'accord.</w:t>
      </w:r>
    </w:p>
    <w:p>
      <w:pPr>
        <w:pStyle w:val="Intertitre"/>
      </w:pPr>
      <w:r>
        <w:t xml:space="preserve">Objet collectif</w:t>
      </w:r>
    </w:p>
    <w:p>
      <w:pPr>
        <w:pStyle w:val="Corps"/>
      </w:pPr>
      <w:r>
        <w:t xml:space="preserve">L'intéressement associe collectivement les bénéficiaires aux résultats ou performances selon les stipulations du présent accord ; son périmètre collectif est [Collective périmètre compte-rendu]. Aucun droit individuel n'est acquis avant la constatation du résultat de la période, l'arrêté définitif de l'enveloppe et l'application des plafonds prévus ci-après.</w:t>
      </w:r>
    </w:p>
    <w:p>
      <w:pPr>
        <w:pStyle w:val="Intertitre"/>
      </w:pPr>
      <w:r>
        <w:t xml:space="preserve">Caractère aléatoire</w:t>
      </w:r>
    </w:p>
    <w:p>
      <w:pPr>
        <w:pStyle w:val="Corps"/>
      </w:pPr>
      <w:r>
        <w:t xml:space="preserve">Le déclenchement et le montant de l'intéressement demeurent incertains à la date de conclusion en raison de [Uncertainty factors] ; aucun montant minimal n'est garanti. La formule est fixée avant que ses résultats puissent être connus. Les données définitives ne peuvent être remplacées, neutralisées ou corrigées que dans les cas et selon les méthodes expressément prévus par l'accord.</w:t>
      </w:r>
    </w:p>
    <w:p>
      <w:pPr>
        <w:pStyle w:val="Intertitre"/>
      </w:pPr>
      <w:r>
        <w:t xml:space="preserve">Absence de substitution</w:t>
      </w:r>
    </w:p>
    <w:p>
      <w:pPr>
        <w:pStyle w:val="Corps"/>
      </w:pPr>
      <w:r>
        <w:t xml:space="preserve">L'intéressement ne se substitue à aucun élément de rémunération en vigueur ; ce contrôle est documenté dans [Non substitution audit compte-rendu]. Sont notamment préservés les salaires, primes, usages et engagements en vigueur dont le versement ne dépend pas du présent dispositif. Toute évolution de ces éléments fait l'objet d'une analyse distincte et traçable.</w:t>
      </w:r>
    </w:p>
    <w:p>
      <w:pPr>
        <w:pStyle w:val="Intertitre"/>
      </w:pPr>
      <w:r>
        <w:t xml:space="preserve">Durée</w:t>
      </w:r>
    </w:p>
    <w:p>
      <w:pPr>
        <w:pStyle w:val="Corps"/>
      </w:pPr>
      <w:r>
        <w:t xml:space="preserve">Le présent accord est conclu du [Accord début date] au [Accord fin date]. Sa durée est comprise entre [Légal minimum term years] et [Légal maximum term years] années selon le contrôle [Term compliance compte-rendu]. La première et la dernière période de calcul doivent rester compatibles avec ces dates. L'expiration de l'accord n'affecte pas le calcul, l'information et le paiement des droits afférents à une période régulièrement ouverte avant son terme.</w:t>
      </w:r>
    </w:p>
    <w:p>
      <w:pPr>
        <w:pStyle w:val="Intertitre"/>
      </w:pPr>
      <w:r>
        <w:t xml:space="preserve"> — choisir une seule variante</w:t>
      </w:r>
    </w:p>
    <w:p>
      <w:pPr>
        <w:pStyle w:val="Variante"/>
      </w:pPr>
      <w:r>
        <w:t xml:space="preserve">Variante : Absence de reconduction tacite</w:t>
      </w:r>
    </w:p>
    <w:p>
      <w:pPr>
        <w:pStyle w:val="Corps"/>
      </w:pPr>
      <w:r>
        <w:t xml:space="preserve">À son terme, l'accord cessera de produire effet sauf conclusion d'un nouvel accord selon [Renouvellement négociation procédure]. Les opérations de calcul et de versement relatives aux périodes déjà achevées se poursuivent toutefois jusqu'à leur complet règlement. Les parties se réunissent utilement avant l'échéance afin d'examiner les résultats du dispositif.</w:t>
      </w:r>
    </w:p>
    <w:p>
      <w:pPr>
        <w:pStyle w:val="Variante"/>
      </w:pPr>
      <w:r>
        <w:t xml:space="preserve">Variante : Reconduction tacite</w:t>
      </w:r>
    </w:p>
    <w:p>
      <w:pPr>
        <w:pStyle w:val="Corps"/>
      </w:pPr>
      <w:r>
        <w:t xml:space="preserve">L'accord pourra être reconduit dans les conditions [Tacit renouvellement procédure], sous réserve de l'absence de demande de renégociation consignée dans [Renegotiation request contrôle]. Avant chaque échéance, l'employeur informe les parties habilitées du calendrier permettant de demander une renégociation. La preuve de cette information et de l'absence éventuelle de demande est conservée avec le dossier de renouvellement.</w:t>
      </w:r>
    </w:p>
    <w:p>
      <w:pPr>
        <w:pStyle w:val="Intertitre"/>
      </w:pPr>
      <w:r>
        <w:t xml:space="preserve"> — choisir une seule variante</w:t>
      </w:r>
    </w:p>
    <w:p>
      <w:pPr>
        <w:pStyle w:val="Variante"/>
      </w:pPr>
      <w:r>
        <w:t xml:space="preserve">Variante : Périmètre unique</w:t>
      </w:r>
    </w:p>
    <w:p>
      <w:pPr>
        <w:pStyle w:val="Corps"/>
      </w:pPr>
      <w:r>
        <w:t xml:space="preserve">L'accord s'applique à l'entreprise ou à l'établissement [Unique périmètre entité] selon le périmètre [Unique périmètre definition]. Les salariés rattachés temporairement à un autre site restent affectés au périmètre selon leur établissement de référence, dans les conditions définies par les règles de rattachement applicables à la période.</w:t>
      </w:r>
    </w:p>
    <w:p>
      <w:pPr>
        <w:pStyle w:val="Variante"/>
      </w:pPr>
      <w:r>
        <w:t xml:space="preserve">Variante : Plusieurs établissements</w:t>
      </w:r>
    </w:p>
    <w:p>
      <w:pPr>
        <w:pStyle w:val="Corps"/>
      </w:pPr>
      <w:r>
        <w:t xml:space="preserve">L'accord couvre les établissements [Covered établissement liste] ; les rattachements et populations sont précisés dans [Établissement périmètre tableau]. Le tableau indique pour chaque établissement sa date d'entrée dans le périmètre, son unité de rattachement et la population concernée. Une fermeture, ouverture ou réorganisation en cours de période est traitée selon les règles de variation de périmètre.</w:t>
      </w:r>
    </w:p>
    <w:p>
      <w:pPr>
        <w:pStyle w:val="Intertitre"/>
      </w:pPr>
      <w:r>
        <w:t xml:space="preserve"> — choisir une seule variante</w:t>
      </w:r>
    </w:p>
    <w:p>
      <w:pPr>
        <w:pStyle w:val="Variante"/>
      </w:pPr>
      <w:r>
        <w:t xml:space="preserve">Variante : Paramètres communs</w:t>
      </w:r>
    </w:p>
    <w:p>
      <w:pPr>
        <w:pStyle w:val="Corps"/>
      </w:pPr>
      <w:r>
        <w:t xml:space="preserve">Une formule et des paramètres communs s'appliquent à l'ensemble du périmètre selon [Uniform parameter compte-rendu]. Les mêmes définitions, sources, seuils, cibles et règles de clôture sont alors utilisés pour chaque établissement. Les données sont consolidées sans compensation non prévue entre unités.</w:t>
      </w:r>
    </w:p>
    <w:p>
      <w:pPr>
        <w:pStyle w:val="Variante"/>
      </w:pPr>
      <w:r>
        <w:t xml:space="preserve">Variante : Paramètres différenciés</w:t>
      </w:r>
    </w:p>
    <w:p>
      <w:pPr>
        <w:pStyle w:val="Corps"/>
      </w:pPr>
      <w:r>
        <w:t xml:space="preserve">Les paramètres diffèrent entre établissements ou unités de travail selon [Differentiated parameter tableau] et les critères objectifs [Differentiation justification]. Le tableau identifie, pour chaque unité, la formule applicable, ses sources et son responsable de production. Les différences doivent correspondre à des situations objectives et ne peuvent avoir pour effet d'exclure arbitrairement une population.</w:t>
      </w:r>
    </w:p>
    <w:p>
      <w:pPr>
        <w:pStyle w:val="Intertitre"/>
      </w:pPr>
      <w:r>
        <w:t xml:space="preserve">Salariés bénéficiaires</w:t>
      </w:r>
    </w:p>
    <w:p>
      <w:pPr>
        <w:pStyle w:val="Corps"/>
      </w:pPr>
      <w:r>
        <w:t xml:space="preserve">Tous les salariés compris dans le périmètre bénéficient de l'accord, sous réserve des seules conditions définies ci-après ; la population est identifiée par [Employee population source]. La qualité de bénéficiaire est appréciée selon la relation de travail et le rattachement au périmètre, indépendamment de la catégorie professionnelle, de la durée du travail ou de la nature du contrat, sous réserve de l'ancienneté valablement prévue.</w:t>
      </w:r>
    </w:p>
    <w:p>
      <w:pPr>
        <w:pStyle w:val="Intertitre"/>
      </w:pPr>
      <w:r>
        <w:t xml:space="preserve"> — choisir une seule variante</w:t>
      </w:r>
    </w:p>
    <w:p>
      <w:pPr>
        <w:pStyle w:val="Variante"/>
      </w:pPr>
      <w:r>
        <w:t xml:space="preserve">Variante : Bénéficiaires salariés uniquement</w:t>
      </w:r>
    </w:p>
    <w:p>
      <w:pPr>
        <w:pStyle w:val="Corps"/>
      </w:pPr>
      <w:r>
        <w:t xml:space="preserve">Le dispositif est réservé aux salariés compris dans le périmètre selon [Employee only contrôle]. Les mandataires sociaux et autres personnes sans contrat de travail ne sont pas inclus au titre de cette branche. La présence éventuelle d'un contrat de travail distinct est appréciée sur pièces.</w:t>
      </w:r>
    </w:p>
    <w:p>
      <w:pPr>
        <w:pStyle w:val="Variante"/>
      </w:pPr>
      <w:r>
        <w:t xml:space="preserve">Variante : Dirigeants et conjoint éligibles</w:t>
      </w:r>
    </w:p>
    <w:p>
      <w:pPr>
        <w:pStyle w:val="Corps"/>
      </w:pPr>
      <w:r>
        <w:t xml:space="preserve">Les bénéficiaires incluent [Eligible manager catégories] sous réserve d'un effectif inférieur à [Légal manager éligibilité employee ceiling] salariés et des conditions de statut et de rémunération contrôlées dans [Manager éligibilité compte-rendu]. L'éligibilité est vérifiée pour chaque période de calcul et ne se présume pas de la seule qualité de dirigeant. Toute perte d'une condition légale est prise en compte à la date et selon les modalités établies par les pièces du dossier.</w:t>
      </w:r>
    </w:p>
    <w:p>
      <w:pPr>
        <w:pStyle w:val="Intertitre"/>
      </w:pPr>
      <w:r>
        <w:t xml:space="preserve"> — choisir une seule variante</w:t>
      </w:r>
    </w:p>
    <w:p>
      <w:pPr>
        <w:pStyle w:val="Variante"/>
      </w:pPr>
      <w:r>
        <w:t xml:space="preserve">Variante : Absence de condition d'ancienneté</w:t>
      </w:r>
    </w:p>
    <w:p>
      <w:pPr>
        <w:pStyle w:val="Corps"/>
      </w:pPr>
      <w:r>
        <w:t xml:space="preserve">Aucune condition d'ancienneté n'est exigée au-delà de l'appartenance au périmètre pendant la période de calcul, selon [No seniority contrôle]. Les salariés entrés en cours de période participent donc à la répartition selon les critères retenus et leur temps de présence ou leur salaire, sans délai d'attente supplémentaire.</w:t>
      </w:r>
    </w:p>
    <w:p>
      <w:pPr>
        <w:pStyle w:val="Variante"/>
      </w:pPr>
      <w:r>
        <w:t xml:space="preserve">Variante : Condition d'ancienneté</w:t>
      </w:r>
    </w:p>
    <w:p>
      <w:pPr>
        <w:pStyle w:val="Corps"/>
      </w:pPr>
      <w:r>
        <w:t xml:space="preserve">Le bénéfice est subordonné à l'ancienneté [Agreed seniority condition], laquelle ne peut excéder [Légal maximum seniority months] mois ; son calcul est défini par [Seniority calcul modalité]. L'ancienneté s'apprécie en totalisant les périodes de travail pertinentes selon la règle convenue, y compris lorsque plusieurs contrats se succèdent dans les limites légales. Aucun salarié satisfaisant cette condition ne peut être exclu discrétionnairement.</w:t>
      </w:r>
    </w:p>
    <w:p>
      <w:pPr>
        <w:pStyle w:val="Intertitre"/>
      </w:pPr>
      <w:r>
        <w:t xml:space="preserve">Entrées et départs</w:t>
      </w:r>
    </w:p>
    <w:p>
      <w:pPr>
        <w:pStyle w:val="Corps"/>
      </w:pPr>
      <w:r>
        <w:t xml:space="preserve">Les droits des bénéficiaires entrant ou quittant le périmètre pendant la période sont déterminés selon [Entry departure règles] et la date de référence [Beneficiary status date rule]. Une entrée ou une sortie n'entraîne ni perte des droits déjà constitués ni reconstitution fictive d'une période complète. Les éléments de salaire et de présence sont arrêtés à partir des données de paie effectivement rattachées à la période.</w:t>
      </w:r>
    </w:p>
    <w:p>
      <w:pPr>
        <w:pStyle w:val="Intertitre"/>
      </w:pPr>
      <w:r>
        <w:t xml:space="preserve">Périodes assimilées à la présence</w:t>
      </w:r>
    </w:p>
    <w:p>
      <w:pPr>
        <w:pStyle w:val="Corps"/>
      </w:pPr>
      <w:r>
        <w:t xml:space="preserve">Les périodes assimilées à la présence et leur traitement sont recensés dans [Presence equivalence tableau] conformément au contrôle [Protected absence contrôle]. Les absences légalement assimilées sont neutralisées ou reconstituées selon une méthode identique pour tous les bénéficiaires concernés. Les données d'absence utilisées pour la répartition sont limitées à celles nécessaires au calcul.</w:t>
      </w:r>
    </w:p>
    <w:p>
      <w:pPr>
        <w:pStyle w:val="Intertitre"/>
      </w:pPr>
      <w:r>
        <w:t xml:space="preserve"> — choisir une seule variante</w:t>
      </w:r>
    </w:p>
    <w:p>
      <w:pPr>
        <w:pStyle w:val="Variante"/>
      </w:pPr>
      <w:r>
        <w:t xml:space="preserve">Variante : Calcul annuel</w:t>
      </w:r>
    </w:p>
    <w:p>
      <w:pPr>
        <w:pStyle w:val="Corps"/>
      </w:pPr>
      <w:r>
        <w:t xml:space="preserve">La période de calcul court du [Calcul period début] au [Calcul period fin] et correspond à [Annual référence exercise]. Les indicateurs et agrégats sont arrêtés sur cet exercice sans report de résultat d'une période à l'autre, sauf mécanisme pluriannuel expressément intégré à la formule.</w:t>
      </w:r>
    </w:p>
    <w:p>
      <w:pPr>
        <w:pStyle w:val="Variante"/>
      </w:pPr>
      <w:r>
        <w:t xml:space="preserve">Variante : Calcul infra-annuel</w:t>
      </w:r>
    </w:p>
    <w:p>
      <w:pPr>
        <w:pStyle w:val="Corps"/>
      </w:pPr>
      <w:r>
        <w:t xml:space="preserve">Chaque période de calcul comprend [Calcul period months] mois, sans être inférieure à [Légal minimum calcul period months] mois, et suit le calendrier [Infra annual calendar] ; les résultats sont consolidés selon [Infra annual consolidation modalité]. Chaque sous-période est autonome pour le déclenchement, le calcul et la preuve des résultats. La consolidation annuelle sert aux contrôles globaux et aux plafonds, sans modifier rétroactivement une formule déjà appliquée.</w:t>
      </w:r>
    </w:p>
    <w:p>
      <w:pPr>
        <w:pStyle w:val="Intertitre"/>
      </w:pPr>
      <w:r>
        <w:t xml:space="preserve"> — choisir une seule variante</w:t>
      </w:r>
    </w:p>
    <w:p>
      <w:pPr>
        <w:pStyle w:val="Variante"/>
      </w:pPr>
      <w:r>
        <w:t xml:space="preserve">Variante : Formule liée aux résultats</w:t>
      </w:r>
    </w:p>
    <w:p>
      <w:pPr>
        <w:pStyle w:val="Corps"/>
      </w:pPr>
      <w:r>
        <w:t xml:space="preserve">L'enveloppe d'intéressement est calculée selon [Financial formula] à partir de [Financial metrics], après application des seuils [Financial déclenchement thresholds] et ajustements [Financial adjustment règles]. Pour chaque agrégat, la formule précise son signe, son unité, sa période de rattachement et l'ordre des opérations. En deçà du seuil de déclenchement, l'enveloppe est nulle ; au-delà, elle est calculée sans appréciation discrétionnaire.</w:t>
      </w:r>
    </w:p>
    <w:p>
      <w:pPr>
        <w:pStyle w:val="Variante"/>
      </w:pPr>
      <w:r>
        <w:t xml:space="preserve">Variante : Formule liée aux performances</w:t>
      </w:r>
    </w:p>
    <w:p>
      <w:pPr>
        <w:pStyle w:val="Corps"/>
      </w:pPr>
      <w:r>
        <w:t xml:space="preserve">L'enveloppe d'intéressement est calculée selon [Performance formula] à partir des indicateurs [Performance metrics], de leurs cibles [Performance targets] et de la méthode de mesure [Performance measurement protocol]. Chaque indicateur comporte une valeur de référence, une cible, une échelle de progression et, le cas échéant, un seuil éliminatoire. La performance constatée est convertie en enveloppe selon la table arrêtée avant le début de la période.</w:t>
      </w:r>
    </w:p>
    <w:p>
      <w:pPr>
        <w:pStyle w:val="Variante"/>
      </w:pPr>
      <w:r>
        <w:t xml:space="preserve">Variante : Formule mixte</w:t>
      </w:r>
    </w:p>
    <w:p>
      <w:pPr>
        <w:pStyle w:val="Corps"/>
      </w:pPr>
      <w:r>
        <w:t xml:space="preserve">L'enveloppe combine une composante résultats pondérée à [Weight résultat] et une composante performances pondérée à [Weight performance], selon la formule [Combiné formula] et le contrôle de cohérence [Combiné weight contrôle]. La somme des pondérations est contrôlée avant application. Si une composante ne se déclenche pas, son poids n'est ni transféré ni redistribué à l'autre composante, sauf règle contraire expressément chiffrée dans la formule.</w:t>
      </w:r>
    </w:p>
    <w:p>
      <w:pPr>
        <w:pStyle w:val="Intertitre"/>
      </w:pPr>
      <w:r>
        <w:t xml:space="preserve">Définition des indicateurs</w:t>
      </w:r>
    </w:p>
    <w:p>
      <w:pPr>
        <w:pStyle w:val="Corps"/>
      </w:pPr>
      <w:r>
        <w:t xml:space="preserve">Chaque agrégat, indicateur, unité, source, période et responsable de production est défini dans [Metric definition tableau]. Cette annexe indique également les exclusions, les règles d'arrondi, les contrôles de cohérence et la personne chargée de certifier chaque donnée. Une définition ne peut être modifiée après constatation du résultat.</w:t>
      </w:r>
    </w:p>
    <w:p>
      <w:pPr>
        <w:pStyle w:val="Intertitre"/>
      </w:pPr>
      <w:r>
        <w:t xml:space="preserve">Sources et clôture des données</w:t>
      </w:r>
    </w:p>
    <w:p>
      <w:pPr>
        <w:pStyle w:val="Corps"/>
      </w:pPr>
      <w:r>
        <w:t xml:space="preserve">Les données sont extraites de [Calcul données sources], arrêtées selon [Données clôture procédure] et rapprochées par [Données reconciliation procédure]. En cas d'indisponibilité d'une donnée, seule la source de remplacement préalablement identifiée peut être utilisée. À défaut de donnée principale ou de remplacement exploitable, l'indicateur concerné est traité selon la règle d'indisponibilité convenue, sans estimation libre.</w:t>
      </w:r>
    </w:p>
    <w:p>
      <w:pPr>
        <w:pStyle w:val="Intertitre"/>
      </w:pPr>
      <w:r>
        <w:t xml:space="preserve">Événements exceptionnels</w:t>
      </w:r>
    </w:p>
    <w:p>
      <w:pPr>
        <w:pStyle w:val="Corps"/>
      </w:pPr>
      <w:r>
        <w:t xml:space="preserve">Le traitement des changements de méthode, variations de périmètre et événements exceptionnels est défini par [Exceptional event règles] sans supprimer le caractère aléatoire. Tout retraitement est décrit, chiffré et appliqué symétriquement, qu'il augmente ou réduise l'enveloppe. L'organe de suivi reçoit l'état avant/après retraitement et la pièce justifiant l'événement.</w:t>
      </w:r>
    </w:p>
    <w:p>
      <w:pPr>
        <w:pStyle w:val="Intertitre"/>
      </w:pPr>
      <w:r>
        <w:t xml:space="preserve">Exemple de calcul</w:t>
      </w:r>
    </w:p>
    <w:p>
      <w:pPr>
        <w:pStyle w:val="Corps"/>
      </w:pPr>
      <w:r>
        <w:t xml:space="preserve">L'annexe [Calcul example annex] illustre la formule à partir de données pédagogiques identifiées comme telles, sans créer de droit distinct des stipulations de l'accord. L'exemple déroule successivement le déclenchement, chaque agrégat, les pondérations, le plafond collectif, la répartition et le plafond individuel. Les valeurs illustratives ne sont jamais utilisées comme données d'exécution.</w:t>
      </w:r>
    </w:p>
    <w:p>
      <w:pPr>
        <w:pStyle w:val="Intertitre"/>
      </w:pPr>
      <w:r>
        <w:t xml:space="preserve">Plafond global</w:t>
      </w:r>
    </w:p>
    <w:p>
      <w:pPr>
        <w:pStyle w:val="Corps"/>
      </w:pPr>
      <w:r>
        <w:t xml:space="preserve">L'enveloppe totale, supplément compris, est plafonnée à [Légal global cap rate] pour cent de l'assiette légale contrôlée dans [Global cap base compte-rendu]. L'assiette et la masse retenues sont rapprochées des déclarations sociales et des états de paie de la période. Si le calcul initial excède le plafond, l'enveloppe est réduite avant toute répartition individuelle.</w:t>
      </w:r>
    </w:p>
    <w:p>
      <w:pPr>
        <w:pStyle w:val="Intertitre"/>
      </w:pPr>
      <w:r>
        <w:t xml:space="preserve"> — choisir une seule variante</w:t>
      </w:r>
    </w:p>
    <w:p>
      <w:pPr>
        <w:pStyle w:val="Variante"/>
      </w:pPr>
      <w:r>
        <w:t xml:space="preserve">Variante : Répartition uniforme</w:t>
      </w:r>
    </w:p>
    <w:p>
      <w:pPr>
        <w:pStyle w:val="Corps"/>
      </w:pPr>
      <w:r>
        <w:t xml:space="preserve">L'enveloppe distribuable est répartie uniformément entre les bénéficiaires selon [Uniform attribution modalité]. Le nombre de bénéficiaires est arrêté à la même date de référence pour tous. La quote-part unitaire résulte de la division de l'enveloppe distribuable par cet effectif, avant application du plafond individuel et traitement du reliquat.</w:t>
      </w:r>
    </w:p>
    <w:p>
      <w:pPr>
        <w:pStyle w:val="Variante"/>
      </w:pPr>
      <w:r>
        <w:t xml:space="preserve">Variante : Répartition selon la présence</w:t>
      </w:r>
    </w:p>
    <w:p>
      <w:pPr>
        <w:pStyle w:val="Corps"/>
      </w:pPr>
      <w:r>
        <w:t xml:space="preserve">L'enveloppe est répartie proportionnellement à la durée de présence définie par [Presence attribution modalité] et les équivalences [Presence attribution equivalences]. Le dénominateur correspond à la somme des durées de présence ainsi déterminées. Chaque part individuelle est égale à l'enveloppe distribuable multipliée par le rapport entre la présence du bénéficiaire et ce total.</w:t>
      </w:r>
    </w:p>
    <w:p>
      <w:pPr>
        <w:pStyle w:val="Variante"/>
      </w:pPr>
      <w:r>
        <w:t xml:space="preserve">Variante : Répartition selon les salaires</w:t>
      </w:r>
    </w:p>
    <w:p>
      <w:pPr>
        <w:pStyle w:val="Corps"/>
      </w:pPr>
      <w:r>
        <w:t xml:space="preserve">L'enveloppe est répartie proportionnellement aux salaires retenus selon [Salary attribution modalité], avec plancher ou plafond [Salary floor ceiling règles]. Le dénominateur correspond à la somme des salaires éligibles après application des bornes convenues. Chaque part individuelle est calculée au prorata de l'assiette personnelle ainsi déterminée, sans inclure un élément de paie exclu par l'accord.</w:t>
      </w:r>
    </w:p>
    <w:p>
      <w:pPr>
        <w:pStyle w:val="Variante"/>
      </w:pPr>
      <w:r>
        <w:t xml:space="preserve">Variante : Répartition combinée</w:t>
      </w:r>
    </w:p>
    <w:p>
      <w:pPr>
        <w:pStyle w:val="Corps"/>
      </w:pPr>
      <w:r>
        <w:t xml:space="preserve">L'enveloppe est divisée en sous-masses : [Uniform attribution share] pour la part uniforme, [Presence attribution share] pour la présence et [Salary attribution share] pour les salaires, selon le contrôle [Combiné attribution contrôle]. Chaque sous-masse est répartie séparément selon son propre dénominateur. Les montants obtenus sont ensuite additionnés pour chaque bénéficiaire, puis soumis au plafond individuel et à la règle commune d'arrondi.</w:t>
      </w:r>
    </w:p>
    <w:p>
      <w:pPr>
        <w:pStyle w:val="Intertitre"/>
      </w:pPr>
      <w:r>
        <w:t xml:space="preserve">Plafond individuel</w:t>
      </w:r>
    </w:p>
    <w:p>
      <w:pPr>
        <w:pStyle w:val="Corps"/>
      </w:pPr>
      <w:r>
        <w:t xml:space="preserve">La prime attribuée à un bénéficiaire est limitée à [Légal individual cap rate] pour cent du plafond officiel applicable, selon [Individual cap contrôle]. Le plafond est appliqué après addition de toutes les composantes attribuées au même bénéficiaire au titre de la période. Les versements déjà effectués ou avances déjà imputées sont intégrés au contrôle.</w:t>
      </w:r>
    </w:p>
    <w:p>
      <w:pPr>
        <w:pStyle w:val="Intertitre"/>
      </w:pPr>
      <w:r>
        <w:t xml:space="preserve">Reliquat après plafonnement</w:t>
      </w:r>
    </w:p>
    <w:p>
      <w:pPr>
        <w:pStyle w:val="Corps"/>
      </w:pPr>
      <w:r>
        <w:t xml:space="preserve">Le reliquat résultant du plafonnement individuel est traité selon [Residual redistribution modalité] et le rapprochement [Residual reconciliation]. La redistribution ne bénéficie qu'aux personnes n'ayant pas atteint leur propre plafond et utilise le même critère que la répartition initiale. Elle est répétée, si nécessaire, jusqu'à épuisement du reliquat ou saturation de tous les droits.</w:t>
      </w:r>
    </w:p>
    <w:p>
      <w:pPr>
        <w:pStyle w:val="Intertitre"/>
      </w:pPr>
      <w:r>
        <w:t xml:space="preserve"> — choisir une seule variante</w:t>
      </w:r>
    </w:p>
    <w:p>
      <w:pPr>
        <w:pStyle w:val="Variante"/>
      </w:pPr>
      <w:r>
        <w:t xml:space="preserve">Variante : Absence d'avances</w:t>
      </w:r>
    </w:p>
    <w:p>
      <w:pPr>
        <w:pStyle w:val="Corps"/>
      </w:pPr>
      <w:r>
        <w:t xml:space="preserve">Aucune avance n'est versée avant le calcul définitif de la période selon [No advance contrôle]. Aucune créance exigible n'est reconnue avant l'arrêté des comptes et la validation des indicateurs. Les communications intermédiaires présentent uniquement une estimation et ne valent ni attribution ni engagement de versement.</w:t>
      </w:r>
    </w:p>
    <w:p>
      <w:pPr>
        <w:pStyle w:val="Variante"/>
      </w:pPr>
      <w:r>
        <w:t xml:space="preserve">Variante : Avances sur intéressement</w:t>
      </w:r>
    </w:p>
    <w:p>
      <w:pPr>
        <w:pStyle w:val="Corps"/>
      </w:pPr>
      <w:r>
        <w:t xml:space="preserve">Des avances peuvent être versées avec l'accord du bénéficiaire selon [Advance schedule], [Advance consent procédure] et les règles de régularisation [Advance reconciliation règles]. Chaque avance est imputée sur le droit définitif de la même période. Lorsque le total des avances excède le droit acquis, la régularisation suit la procédure convenue et respecte les protections applicables au bénéficiaire.</w:t>
      </w:r>
    </w:p>
    <w:p>
      <w:pPr>
        <w:pStyle w:val="Intertitre"/>
      </w:pPr>
      <w:r>
        <w:t xml:space="preserve">Arrêté des calculs</w:t>
      </w:r>
    </w:p>
    <w:p>
      <w:pPr>
        <w:pStyle w:val="Corps"/>
      </w:pPr>
      <w:r>
        <w:t xml:space="preserve">Les calculs sont arrêtés par [Calcul approval body] après contrôle de [Calcul contrôle file] et consignés dans [Calcul approval compte-rendu]. Le dossier de calcul retrace les sources, les extractions, les retraitements, les contrôles de plafonds et la répartition individuelle. L'approbation ne permet pas de modifier la formule ni de substituer une appréciation d'opportunité à son résultat.</w:t>
      </w:r>
    </w:p>
    <w:p>
      <w:pPr>
        <w:pStyle w:val="Intertitre"/>
      </w:pPr>
      <w:r>
        <w:t xml:space="preserve">Clause optionnelle : Versement après calcul annuel</w:t>
      </w:r>
    </w:p>
    <w:p>
      <w:pPr>
        <w:pStyle w:val="Corps"/>
      </w:pPr>
      <w:r>
        <w:t xml:space="preserve">Les sommes sont mises à disposition au plus tard selon [Annual légal payment échéance] ; tout retard est traité selon [Late payment interest procédure]. L'employeur organise le paiement ou l'affectation suffisamment tôt pour respecter cette échéance. Le décompte des intérêts commence selon la règle légale applicable et figure distinctement sur l'information remise au bénéficiaire.</w:t>
      </w:r>
    </w:p>
    <w:p>
      <w:pPr>
        <w:pStyle w:val="Intertitre"/>
      </w:pPr>
      <w:r>
        <w:t xml:space="preserve">Clause optionnelle : Versement après calcul infra-annuel</w:t>
      </w:r>
    </w:p>
    <w:p>
      <w:pPr>
        <w:pStyle w:val="Corps"/>
      </w:pPr>
      <w:r>
        <w:t xml:space="preserve">Les sommes de chaque période sont mises à disposition selon [Infra annual payment calendar] et les intérêts de retard selon [Infra annual late interest procédure]. Le calendrier identifie pour chaque période sa date de clôture, la date d'arrêté des données et l'échéance de mise à disposition. Une régularisation ultérieure est limitée aux erreurs matérielles démontrées et suit la procédure de rectification.</w:t>
      </w:r>
    </w:p>
    <w:p>
      <w:pPr>
        <w:pStyle w:val="Intertitre"/>
      </w:pPr>
      <w:r>
        <w:t xml:space="preserve"> — choisir une seule variante</w:t>
      </w:r>
    </w:p>
    <w:p>
      <w:pPr>
        <w:pStyle w:val="Variante"/>
      </w:pPr>
      <w:r>
        <w:t xml:space="preserve">Variante : Absence de plan d'épargne applicable</w:t>
      </w:r>
    </w:p>
    <w:p>
      <w:pPr>
        <w:pStyle w:val="Corps"/>
      </w:pPr>
      <w:r>
        <w:t xml:space="preserve">À défaut de plan d'épargne applicable, les sommes sont traitées selon [Direct payment procédure] après information du bénéficiaire. Le montant net payable, les prélèvements applicables et la date de mise à disposition sont indiqués sur la fiche individuelle. Aucun support d'épargne indisponible ne peut être présenté comme une option au bénéficiaire.</w:t>
      </w:r>
    </w:p>
    <w:p>
      <w:pPr>
        <w:pStyle w:val="Variante"/>
      </w:pPr>
      <w:r>
        <w:t xml:space="preserve">Variante : Versement ou affectation à un plan</w:t>
      </w:r>
    </w:p>
    <w:p>
      <w:pPr>
        <w:pStyle w:val="Corps"/>
      </w:pPr>
      <w:r>
        <w:t xml:space="preserve">Le bénéficiaire choisit entre versement immédiat et affectation aux dispositifs [Available savings plans] selon [Beneficiary élection procédure] ; l'affectation par défaut suit [Default savings attribution]. Le formulaire d'option indique le délai de réponse, les supports accessibles, la durée d'indisponibilité et les conséquences d'une absence de choix. La preuve de l'information et de l'option exercée est conservée individuellement.</w:t>
      </w:r>
    </w:p>
    <w:p>
      <w:pPr>
        <w:pStyle w:val="Intertitre"/>
      </w:pPr>
      <w:r>
        <w:t xml:space="preserve">Fiche individuelle</w:t>
      </w:r>
    </w:p>
    <w:p>
      <w:pPr>
        <w:pStyle w:val="Corps"/>
      </w:pPr>
      <w:r>
        <w:t xml:space="preserve">Chaque bénéficiaire reçoit une fiche distincte comportant [Individual statement contents] et la note annexée [Calcul attribution summary] selon le canal [Individual statement remise]. La fiche distingue la prime brute, les prélèvements, l'affectation choisie, les dates et les voies de contestation. Elle ne comporte que les données du bénéficiaire concerné et permet de reconstituer son calcul.</w:t>
      </w:r>
    </w:p>
    <w:p>
      <w:pPr>
        <w:pStyle w:val="Intertitre"/>
      </w:pPr>
      <w:r>
        <w:t xml:space="preserve">Bénéficiaires ayant quitté l'entreprise</w:t>
      </w:r>
    </w:p>
    <w:p>
      <w:pPr>
        <w:pStyle w:val="Corps"/>
      </w:pPr>
      <w:r>
        <w:t xml:space="preserve">Les bénéficiaires ayant quitté l'entreprise sont recherchés et informés selon [Departed beneficiary procédure] ; leurs droits sont conservés ou versés selon [Unclaimed rights procédure]. L'ancien salarié demeure tenu de communiquer une adresse ou des coordonnées valides. Les recherches, avis et éventuels transferts de sommes sont tracés jusqu'au règlement ou à l'application de la procédure légale correspondante.</w:t>
      </w:r>
    </w:p>
    <w:p>
      <w:pPr>
        <w:pStyle w:val="Intertitre"/>
      </w:pPr>
      <w:r>
        <w:t xml:space="preserve"> — choisir une seule variante</w:t>
      </w:r>
    </w:p>
    <w:p>
      <w:pPr>
        <w:pStyle w:val="Variante"/>
      </w:pPr>
      <w:r>
        <w:t xml:space="preserve">Variante : Absence de supplément</w:t>
      </w:r>
    </w:p>
    <w:p>
      <w:pPr>
        <w:pStyle w:val="Corps"/>
      </w:pPr>
      <w:r>
        <w:t xml:space="preserve">Aucun supplément d'intéressement n'est institué par le présent accord ; toute décision ultérieure devra respecter [Future supplement procédure]. Les résultats de la période sont donc limités à l'enveloppe issue de la formule. Une communication ou une décision budgétaire ne peut être assimilée à un supplément sans l'acte compétent et les contrôles requis.</w:t>
      </w:r>
    </w:p>
    <w:p>
      <w:pPr>
        <w:pStyle w:val="Variante"/>
      </w:pPr>
      <w:r>
        <w:t xml:space="preserve">Variante : Supplément d'intéressement</w:t>
      </w:r>
    </w:p>
    <w:p>
      <w:pPr>
        <w:pStyle w:val="Corps"/>
      </w:pPr>
      <w:r>
        <w:t xml:space="preserve">Un supplément peut être décidé par [Supplement décision body] selon [Supplement décision procédure] et réparti selon [Supplement attribution modalité], sous le contrôle des plafonds [Supplement cap contrôle]. La décision fixe l'exercice concerné, le montant, la date et la répartition applicable. Le supplément est ajouté à l'enveloppe pour le contrôle du plafond collectif et à la part du bénéficiaire pour le contrôle du plafond individuel.</w:t>
      </w:r>
    </w:p>
    <w:p>
      <w:pPr>
        <w:pStyle w:val="Intertitre"/>
      </w:pPr>
      <w:r>
        <w:t xml:space="preserve"> — choisir une seule variante</w:t>
      </w:r>
    </w:p>
    <w:p>
      <w:pPr>
        <w:pStyle w:val="Variante"/>
      </w:pPr>
      <w:r>
        <w:t xml:space="preserve">Variante : Suivi par le CSE</w:t>
      </w:r>
    </w:p>
    <w:p>
      <w:pPr>
        <w:pStyle w:val="Corps"/>
      </w:pPr>
      <w:r>
        <w:t xml:space="preserve">Le comité social et économique vérifie l'exécution selon [Cse monitoring procédure] et reçoit les informations [Cse monitoring information]. Les informations sont remises dans un délai permettant une analyse utile avant le versement. Les observations et réponses sont consignées au procès-verbal, sans que le CSE puisse modifier la formule après clôture.</w:t>
      </w:r>
    </w:p>
    <w:p>
      <w:pPr>
        <w:pStyle w:val="Variante"/>
      </w:pPr>
      <w:r>
        <w:t xml:space="preserve">Variante : Commission spécialisée</w:t>
      </w:r>
    </w:p>
    <w:p>
      <w:pPr>
        <w:pStyle w:val="Corps"/>
      </w:pPr>
      <w:r>
        <w:t xml:space="preserve">La commission [Monitoring commission nom] composée selon [Monitoring commission composition] contrôle l'exécution avec les moyens [Monitoring commission resources]. La commission se réunit au moins lors de l'arrêté des indicateurs et de la présentation du bilan annuel. Ses avis, demandes d'explication et éventuels désaccords sont consignés dans un relevé transmis aux signataires.</w:t>
      </w:r>
    </w:p>
    <w:p>
      <w:pPr>
        <w:pStyle w:val="Variante"/>
      </w:pPr>
      <w:r>
        <w:t xml:space="preserve">Variante : Suivi par les signataires</w:t>
      </w:r>
    </w:p>
    <w:p>
      <w:pPr>
        <w:pStyle w:val="Corps"/>
      </w:pPr>
      <w:r>
        <w:t xml:space="preserve">Les signataires assurent le suivi selon [Signataire monitoring procédure] et se réunissent suivant [Monitoring meeting schedule]. Une réunion peut être demandée en cas d'écart significatif, d'événement exceptionnel ou de difficulté de calcul. Les échanges et décisions d'interprétation sont formalisés sans réécriture rétroactive de la formule.</w:t>
      </w:r>
    </w:p>
    <w:p>
      <w:pPr>
        <w:pStyle w:val="Intertitre"/>
      </w:pPr>
      <w:r>
        <w:t xml:space="preserve">Moyens d'information</w:t>
      </w:r>
    </w:p>
    <w:p>
      <w:pPr>
        <w:pStyle w:val="Corps"/>
      </w:pPr>
      <w:r>
        <w:t xml:space="preserve">L'organe de suivi accède aux pièces [Monitoring document liste], dans les délais [Monitoring information deadlines] et sous les règles de confidentialité [Monitoring confidentiality règles]. L'accès est limité aux données nécessaires et s'exerce dans le respect des secrets protégés et des règles de protection des données. Une synthèse anonymisée est utilisée lorsqu'une information individuelle n'est pas indispensable au contrôle.</w:t>
      </w:r>
    </w:p>
    <w:p>
      <w:pPr>
        <w:pStyle w:val="Intertitre"/>
      </w:pPr>
      <w:r>
        <w:t xml:space="preserve">Rapport d'application</w:t>
      </w:r>
    </w:p>
    <w:p>
      <w:pPr>
        <w:pStyle w:val="Corps"/>
      </w:pPr>
      <w:r>
        <w:t xml:space="preserve">Après chaque période, l'employeur présente [Application report contents] et les écarts constatés selon [Deviation analysis procédure]. Le rapport rapproche les objectifs, les résultats, l'enveloppe, les plafonds, les sommes réparties et les reliquats. Il expose les incidents de données, réclamations, régularisations et mesures correctrices intervenus au cours de la période.</w:t>
      </w:r>
    </w:p>
    <w:p>
      <w:pPr>
        <w:pStyle w:val="Intertitre"/>
      </w:pPr>
      <w:r>
        <w:t xml:space="preserve">Règlement des différends</w:t>
      </w:r>
    </w:p>
    <w:p>
      <w:pPr>
        <w:pStyle w:val="Corps"/>
      </w:pPr>
      <w:r>
        <w:t xml:space="preserve">Toute difficulté d'interprétation, de calcul ou de répartition est soumise à [Contestation resolution body] selon la procédure [Contestation resolution procédure] et les délais [Contestation resolution deadlines]. La réclamation identifie le calcul contesté et les pièces invoquées. La saisine de l'organe de suivi ne prive aucune partie ni aucun bénéficiaire des voies de recours qui lui sont ouvertes par les règles applicables.</w:t>
      </w:r>
    </w:p>
    <w:p>
      <w:pPr>
        <w:pStyle w:val="Intertitre"/>
      </w:pPr>
      <w:r>
        <w:t xml:space="preserve">Révision</w:t>
      </w:r>
    </w:p>
    <w:p>
      <w:pPr>
        <w:pStyle w:val="Corps"/>
      </w:pPr>
      <w:r>
        <w:t xml:space="preserve">L'accord peut être révisé par avenant selon [Revision procédure], après vérification de [Revision légal calendrier contrôle]. La révision n'a pas d'effet rétroactif sur une période dont les paramètres ou résultats sont déjà connus. L'avenant précise sa date d'effet, les stipulations remplacées et les conséquences sur les périodes en cours.</w:t>
      </w:r>
    </w:p>
    <w:p>
      <w:pPr>
        <w:pStyle w:val="Intertitre"/>
      </w:pPr>
      <w:r>
        <w:t xml:space="preserve">Dénonciation</w:t>
      </w:r>
    </w:p>
    <w:p>
      <w:pPr>
        <w:pStyle w:val="Corps"/>
      </w:pPr>
      <w:r>
        <w:t xml:space="preserve">La dénonciation intervient selon [Denunciation procédure], avec information de [Denunciation destinataires] et traitement des périodes en cours selon [Current period protection]. Le dossier retrace l'auteur, la date, la notification et le dépôt de la dénonciation. Les droits issus d'une période achevée restent calculés et versés selon les stipulations applicables à cette période.</w:t>
      </w:r>
    </w:p>
    <w:p>
      <w:pPr>
        <w:pStyle w:val="Intertitre"/>
      </w:pPr>
      <w:r>
        <w:t xml:space="preserve">Modification de la situation juridique</w:t>
      </w:r>
    </w:p>
    <w:p>
      <w:pPr>
        <w:pStyle w:val="Corps"/>
      </w:pPr>
      <w:r>
        <w:t xml:space="preserve">En cas de modification de la situation juridique, la poursuite ou l'impossibilité d'appliquer l'accord est examinée selon [Légal change review procédure] et consignée dans [Légal change compte-rendu]. L'analyse porte notamment sur le maintien du périmètre, l'accès aux données, la comparabilité des indicateurs et la possibilité d'exécuter la formule. Les représentants compétents sont informés de la conclusion et des suites proposées.</w:t>
      </w:r>
    </w:p>
    <w:p>
      <w:pPr>
        <w:pStyle w:val="Intertitre"/>
      </w:pPr>
      <w:r>
        <w:t xml:space="preserve">Dépôt</w:t>
      </w:r>
    </w:p>
    <w:p>
      <w:pPr>
        <w:pStyle w:val="Corps"/>
      </w:pPr>
      <w:r>
        <w:t xml:space="preserve">L'accord et les pièces requises sont déposés par [Filing responsible] selon [Filing procédure], avec preuve [Filing récépissé] et contrôle du délai [Filing échéance contrôle]. Le dossier déposé correspond à la version effectivement signée et comprend les justificatifs attachés au mode de conclusion. Toute demande ou observation de l'administration est traitée, tracée et communiquée aux signataires selon les règles applicables.</w:t>
      </w:r>
    </w:p>
    <w:p>
      <w:pPr>
        <w:pStyle w:val="Intertitre"/>
      </w:pPr>
      <w:r>
        <w:t xml:space="preserve">Copies et conservation</w:t>
      </w:r>
    </w:p>
    <w:p>
      <w:pPr>
        <w:pStyle w:val="Corps"/>
      </w:pPr>
      <w:r>
        <w:t xml:space="preserve">Un exemplaire signé est remis à [Signed exemplaire destinataires] et conservé avec [Accord supporting records] selon [Accord conservation procédure]. La conservation garantit l'intégrité de l'accord, de ses avenants, preuves de conclusion, annexes de calcul et récépissés. Les accès sont limités selon la nature des données et la durée de conservation applicable.</w:t>
      </w:r>
    </w:p>
    <w:p>
      <w:pPr>
        <w:pStyle w:val="Intertitre"/>
      </w:pPr>
      <w:r>
        <w:t xml:space="preserve">Clause optionnelle : Signatures</w:t>
      </w:r>
    </w:p>
    <w:p>
      <w:pPr>
        <w:pStyle w:val="Corps"/>
      </w:pPr>
      <w:r>
        <w:t xml:space="preserve">Fait à [Signature lieu] le [Signature date]. L'accord est signé par [Authorized signataire tableau] selon les pouvoirs [Signature autorité compte-rendu]. Chaque signature est précédée de l'identité et de la qualité de son auteur. Les signatures portées sur des exemplaires séparés sont rattachées à une version identique de l'accord et réunies dans le dossier de conclusion.</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