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ACCORD DE PARTICIPATION</w:t>
      </w:r>
    </w:p>
    <w:p>
      <w:pPr>
        <w:pStyle w:val="Intertitre"/>
      </w:pPr>
      <w:r>
        <w:t xml:space="preserve">Accord de participation</w:t>
      </w:r>
    </w:p>
    <w:p>
      <w:pPr>
        <w:pStyle w:val="Corps"/>
      </w:pPr>
      <w:r>
        <w:t xml:space="preserve">Accord de participation de [Employeur légal nom] applicable à compter du [Accord début date]. Il fixe le calcul de la réserve spéciale, sa répartition, l'information des bénéficiaires et la gestion de leurs droits pour le périmètre expressément défini ci-après.</w:t>
      </w:r>
    </w:p>
    <w:p>
      <w:pPr>
        <w:pStyle w:val="Intertitre"/>
      </w:pPr>
      <w:r>
        <w:t xml:space="preserve">Identification de l'entreprise</w:t>
      </w:r>
    </w:p>
    <w:p>
      <w:pPr>
        <w:pStyle w:val="Corps"/>
      </w:pPr>
      <w:r>
        <w:t xml:space="preserve">L'entreprise [Employeur légal nom], [Employeur légal form], dont le siège est situé [Employeur registered office], immatriculée sous le numéro [Employeur registration number], est représentée par [Employeur représentant nom] en qualité de [Employeur représentant qualité], habilité selon [Employeur autorité compte-rendu]. Le pouvoir du représentant est vérifié à la date de signature et sa justification est conservée avec l'accord. Une modification ultérieure de la dénomination, de la forme ou du siège n'emporte pas, à elle seule, modification du périmètre convenu.</w:t>
      </w:r>
    </w:p>
    <w:p>
      <w:pPr>
        <w:pStyle w:val="Intertitre"/>
      </w:pPr>
      <w:r>
        <w:t xml:space="preserve"> — choisir une seule variante</w:t>
      </w:r>
    </w:p>
    <w:p>
      <w:pPr>
        <w:pStyle w:val="Variante"/>
      </w:pPr>
      <w:r>
        <w:t xml:space="preserve">Variante : Accord collectif</w:t>
      </w:r>
    </w:p>
    <w:p>
      <w:pPr>
        <w:pStyle w:val="Corps"/>
      </w:pPr>
      <w:r>
        <w:t xml:space="preserve">Le présent accord est conclu avec [Collective signatories] selon [Collective signature fondement]. L'identité, la qualité et le pouvoir de chaque signataire sont portés sur l'acte. La date de conclusion correspond à la date de recueil de la dernière signature requise.</w:t>
      </w:r>
    </w:p>
    <w:p>
      <w:pPr>
        <w:pStyle w:val="Variante"/>
      </w:pPr>
      <w:r>
        <w:t xml:space="preserve">Variante : Accord avec les représentants syndicaux</w:t>
      </w:r>
    </w:p>
    <w:p>
      <w:pPr>
        <w:pStyle w:val="Corps"/>
      </w:pPr>
      <w:r>
        <w:t xml:space="preserve">Le présent accord est conclu avec [Syndicale représentants] représentant [Représentant unions] selon les mandats [Syndicale mandate compte-rendu]. La représentativité des organisations et l'étendue de chaque mandat sont appréciées au jour de la signature. Les pouvoirs, réserves et pièces justifiant la négociation sont annexés ou référencés sans ambiguïté.</w:t>
      </w:r>
    </w:p>
    <w:p>
      <w:pPr>
        <w:pStyle w:val="Variante"/>
      </w:pPr>
      <w:r>
        <w:t xml:space="preserve">Variante : Accord conclu au sein du CSE</w:t>
      </w:r>
    </w:p>
    <w:p>
      <w:pPr>
        <w:pStyle w:val="Corps"/>
      </w:pPr>
      <w:r>
        <w:t xml:space="preserve">Le présent accord est conclu au sein du comité social et économique selon [Cse deliberation compte-rendu] et signé par [Cse signatories]. La délibération identifie le texte soumis, les membres participant au vote, le résultat et l'habilitation des signataires. Son procès-verbal est conservé avec la version signée de l'accord.</w:t>
      </w:r>
    </w:p>
    <w:p>
      <w:pPr>
        <w:pStyle w:val="Variante"/>
      </w:pPr>
      <w:r>
        <w:t xml:space="preserve">Variante : Ratification par le personnel</w:t>
      </w:r>
    </w:p>
    <w:p>
      <w:pPr>
        <w:pStyle w:val="Corps"/>
      </w:pPr>
      <w:r>
        <w:t xml:space="preserve">Le projet proposé a été ratifié par le personnel selon [Ratification compte-rendu] et le contrôle de majorité [Ratification compliance compte-rendu]. Le texte soumis au vote est identique au présent accord. Le procès-verbal retrace le corps électoral, les modalités du scrutin, les suffrages exprimés et l'atteinte de la majorité requise, sans divulguer les choix individuels.</w:t>
      </w:r>
    </w:p>
    <w:p>
      <w:pPr>
        <w:pStyle w:val="Intertitre"/>
      </w:pPr>
      <w:r>
        <w:t xml:space="preserve"> — choisir une seule variante</w:t>
      </w:r>
    </w:p>
    <w:p>
      <w:pPr>
        <w:pStyle w:val="Variante"/>
      </w:pPr>
      <w:r>
        <w:t xml:space="preserve">Variante : Participation obligatoire</w:t>
      </w:r>
    </w:p>
    <w:p>
      <w:pPr>
        <w:pStyle w:val="Corps"/>
      </w:pPr>
      <w:r>
        <w:t xml:space="preserve">L'entreprise ou l'UES est assujettie après contrôle du seuil de [Légal mandatory employee threshold] salariés pendant [Légal threshold consecutive years] années civiles consécutives, selon [Mandatory threshold compte-rendu]. L'assujettissement est apprécié à partir des effectifs officiels de chaque année concernée et du périmètre juridiquement pertinent. Le dossier conserve le détail du décompte et la date à laquelle l'obligation prend effet.</w:t>
      </w:r>
    </w:p>
    <w:p>
      <w:pPr>
        <w:pStyle w:val="Variante"/>
      </w:pPr>
      <w:r>
        <w:t xml:space="preserve">Variante : Participation volontaire</w:t>
      </w:r>
    </w:p>
    <w:p>
      <w:pPr>
        <w:pStyle w:val="Corps"/>
      </w:pPr>
      <w:r>
        <w:t xml:space="preserve">L'entreprise institue volontairement la participation selon [Voluntary regime motives] et le contrôle d'éligibilité [Voluntary regime compte-rendu]. Le caractère volontaire ne dispense pas d'appliquer les règles de conclusion, de calcul, de répartition, d'information, de dépôt et de gestion prévues par le présent accord. Le motif retenu ne garantit aucun montant de réserve.</w:t>
      </w:r>
    </w:p>
    <w:p>
      <w:pPr>
        <w:pStyle w:val="Intertitre"/>
      </w:pPr>
      <w:r>
        <w:t xml:space="preserve">Objet</w:t>
      </w:r>
    </w:p>
    <w:p>
      <w:pPr>
        <w:pStyle w:val="Corps"/>
      </w:pPr>
      <w:r>
        <w:t xml:space="preserve">La participation garantit collectivement aux bénéficiaires un droit sur les résultats de l'entreprise sous forme d'une réserve spéciale à effet différé selon [Collective purpose compte-rendu]. Le droit individuel n'est déterminé qu'après clôture de l'exercice, certification des agrégats, calcul de la réserve et application des règles de répartition. Aucun montant minimal n'est garanti par cette stipulation.</w:t>
      </w:r>
    </w:p>
    <w:p>
      <w:pPr>
        <w:pStyle w:val="Intertitre"/>
      </w:pPr>
      <w:r>
        <w:t xml:space="preserve">Autonomie du dispositif</w:t>
      </w:r>
    </w:p>
    <w:p>
      <w:pPr>
        <w:pStyle w:val="Corps"/>
      </w:pPr>
      <w:r>
        <w:t xml:space="preserve">La réserve spéciale est calculée et gérée indépendamment des éléments de rémunération et avantages existants selon [Non substitution compte-rendu]. Le dispositif ne modifie ni les salaires, ni les primes, ni les avantages dus en vertu d'une autre source. Toute évolution de ces éléments est décidée et documentée indépendamment de la participation.</w:t>
      </w:r>
    </w:p>
    <w:p>
      <w:pPr>
        <w:pStyle w:val="Intertitre"/>
      </w:pPr>
      <w:r>
        <w:t xml:space="preserve"> — choisir une seule variante</w:t>
      </w:r>
    </w:p>
    <w:p>
      <w:pPr>
        <w:pStyle w:val="Variante"/>
      </w:pPr>
      <w:r>
        <w:t xml:space="preserve">Variante : Périmètre d'entreprise</w:t>
      </w:r>
    </w:p>
    <w:p>
      <w:pPr>
        <w:pStyle w:val="Corps"/>
      </w:pPr>
      <w:r>
        <w:t xml:space="preserve">L'accord s'applique à [Entreprise périmètre definition] et aux établissements [Entreprise établissement liste]. Les règles de rattachement des salariés, établissements ouverts ou fermés en cours d'exercice et transferts de personnel sont appliquées de manière constante pendant l'exercice considéré.</w:t>
      </w:r>
    </w:p>
    <w:p>
      <w:pPr>
        <w:pStyle w:val="Variante"/>
      </w:pPr>
      <w:r>
        <w:t xml:space="preserve">Variante : Unité économique et sociale</w:t>
      </w:r>
    </w:p>
    <w:p>
      <w:pPr>
        <w:pStyle w:val="Corps"/>
      </w:pPr>
      <w:r>
        <w:t xml:space="preserve">L'accord s'applique à l'UES [Ues nom] constituée selon [Ues recognition compte-rendu] et comprenant [Ues entité liste]. La liste des entités précise leur date d'entrée dans l'UES, les salariés rattachés et la société chargée des obligations opérationnelles. Une évolution du périmètre fait l'objet d'un traitement documenté avant le calcul.</w:t>
      </w:r>
    </w:p>
    <w:p>
      <w:pPr>
        <w:pStyle w:val="Variante"/>
      </w:pPr>
      <w:r>
        <w:t xml:space="preserve">Variante : Accord de groupe</w:t>
      </w:r>
    </w:p>
    <w:p>
      <w:pPr>
        <w:pStyle w:val="Corps"/>
      </w:pPr>
      <w:r>
        <w:t xml:space="preserve">L'accord couvre les sociétés [Group company liste] selon les adhésions [Group adherence compte-rendu] et les règles de consolidation [Group consolidation règles]. Pour chaque société, l'annexe indique l'exercice concerné, la réserve propre, les données transmises et la date d'adhésion. La consolidation n'autorise aucune compensation non prévue entre des réserves ou populations distinctes.</w:t>
      </w:r>
    </w:p>
    <w:p>
      <w:pPr>
        <w:pStyle w:val="Intertitre"/>
      </w:pPr>
      <w:r>
        <w:t xml:space="preserve">Exercice de référence</w:t>
      </w:r>
    </w:p>
    <w:p>
      <w:pPr>
        <w:pStyle w:val="Corps"/>
      </w:pPr>
      <w:r>
        <w:t xml:space="preserve">La réserve est calculée pour chaque exercice allant du [Exercise début date] au [Exercise fin date] selon [Exercise clôture règles]. Les agrégats sont rattachés à cet exercice selon des règles de clôture constantes. Une modification de date de clôture, un exercice court ou long et une opération de restructuration sont traités selon une méthode préalablement identifiée.</w:t>
      </w:r>
    </w:p>
    <w:p>
      <w:pPr>
        <w:pStyle w:val="Intertitre"/>
      </w:pPr>
      <w:r>
        <w:t xml:space="preserve">Salariés bénéficiaires</w:t>
      </w:r>
    </w:p>
    <w:p>
      <w:pPr>
        <w:pStyle w:val="Corps"/>
      </w:pPr>
      <w:r>
        <w:t xml:space="preserve">Tous les salariés compris dans le périmètre bénéficient de la participation sous réserve des conditions définies ci-après ; la population est établie par [Employee population source]. La qualité de bénéficiaire est appréciée selon l'existence du contrat de travail et le rattachement au périmètre, sans distinction arbitraire de catégorie, de durée du travail ou de nature du contrat, sous réserve de l'ancienneté valablement retenue.</w:t>
      </w:r>
    </w:p>
    <w:p>
      <w:pPr>
        <w:pStyle w:val="Intertitre"/>
      </w:pPr>
      <w:r>
        <w:t xml:space="preserve"> — choisir une seule variante</w:t>
      </w:r>
    </w:p>
    <w:p>
      <w:pPr>
        <w:pStyle w:val="Variante"/>
      </w:pPr>
      <w:r>
        <w:t xml:space="preserve">Variante : Salariés uniquement</w:t>
      </w:r>
    </w:p>
    <w:p>
      <w:pPr>
        <w:pStyle w:val="Corps"/>
      </w:pPr>
      <w:r>
        <w:t xml:space="preserve">Le dispositif bénéficie exclusivement aux salariés selon [Employee only contrôle]. Les mandataires sociaux et personnes dépourvues de contrat de travail sont exclus de cette branche. L'existence d'un contrat de travail distinct ne se présume pas et doit être établie par les pièces applicables.</w:t>
      </w:r>
    </w:p>
    <w:p>
      <w:pPr>
        <w:pStyle w:val="Variante"/>
      </w:pPr>
      <w:r>
        <w:t xml:space="preserve">Variante : Dirigeants bénéficiaires en régime volontaire</w:t>
      </w:r>
    </w:p>
    <w:p>
      <w:pPr>
        <w:pStyle w:val="Corps"/>
      </w:pPr>
      <w:r>
        <w:t xml:space="preserve">Dans le régime volontaire, les bénéficiaires comprennent [Eligible manager catégories] selon [Manager éligibilité compte-rendu]. L'éligibilité est appréciée pour chaque bénéficiaire et chaque exercice au regard du régime volontaire, de l'effectif et du statut effectivement détenu. La seule mention d'un mandat social ne suffit pas à ouvrir un droit.</w:t>
      </w:r>
    </w:p>
    <w:p>
      <w:pPr>
        <w:pStyle w:val="Intertitre"/>
      </w:pPr>
      <w:r>
        <w:t xml:space="preserve"> — choisir une seule variante</w:t>
      </w:r>
    </w:p>
    <w:p>
      <w:pPr>
        <w:pStyle w:val="Variante"/>
      </w:pPr>
      <w:r>
        <w:t xml:space="preserve">Variante : Absence de condition d'ancienneté</w:t>
      </w:r>
    </w:p>
    <w:p>
      <w:pPr>
        <w:pStyle w:val="Corps"/>
      </w:pPr>
      <w:r>
        <w:t xml:space="preserve">Aucune condition d'ancienneté n'est exigée selon [No seniority contrôle]. Les salariés entrés en cours d'exercice participent à la répartition selon le critère retenu, sans délai d'attente supplémentaire. Leur salaire ou leur présence est limité aux éléments effectivement rattachables à l'exercice.</w:t>
      </w:r>
    </w:p>
    <w:p>
      <w:pPr>
        <w:pStyle w:val="Variante"/>
      </w:pPr>
      <w:r>
        <w:t xml:space="preserve">Variante : Condition d'ancienneté</w:t>
      </w:r>
    </w:p>
    <w:p>
      <w:pPr>
        <w:pStyle w:val="Corps"/>
      </w:pPr>
      <w:r>
        <w:t xml:space="preserve">Le bénéfice est subordonné à [Agreed seniority condition], sans excéder [Légal maximum seniority months] mois, selon [Seniority calcul modalité]. L'ancienneté est calculée de manière uniforme en tenant compte des périodes pertinentes et des contrats successifs dans les limites applicables. Aucun salarié satisfaisant cette condition ne peut être écarté par une appréciation discrétionnaire.</w:t>
      </w:r>
    </w:p>
    <w:p>
      <w:pPr>
        <w:pStyle w:val="Intertitre"/>
      </w:pPr>
      <w:r>
        <w:t xml:space="preserve">Entrées et départs</w:t>
      </w:r>
    </w:p>
    <w:p>
      <w:pPr>
        <w:pStyle w:val="Corps"/>
      </w:pPr>
      <w:r>
        <w:t xml:space="preserve">Les entrées, départs et changements de périmètre sont traités selon [Entry departure règles] et [Beneficiary status date rule]. Une entrée, un départ ou un transfert n'entraîne ni perte des droits déjà constitués ni reconstitution fictive d'une année complète. Les données individuelles sont arrêtées à la date et selon les règles prévues.</w:t>
      </w:r>
    </w:p>
    <w:p>
      <w:pPr>
        <w:pStyle w:val="Intertitre"/>
      </w:pPr>
      <w:r>
        <w:t xml:space="preserve">Périodes assimilées</w:t>
      </w:r>
    </w:p>
    <w:p>
      <w:pPr>
        <w:pStyle w:val="Corps"/>
      </w:pPr>
      <w:r>
        <w:t xml:space="preserve">Les périodes assimilées à la présence et leur traitement sont définis dans [Presence equivalence tableau] selon [Protected absence contrôle]. Les absences légalement assimilées sont neutralisées ou reconstituées selon une méthode identique pour toutes les personnes concernées. Seules les données d'absence nécessaires à la répartition sont utilisées.</w:t>
      </w:r>
    </w:p>
    <w:p>
      <w:pPr>
        <w:pStyle w:val="Intertitre"/>
      </w:pPr>
      <w:r>
        <w:t xml:space="preserve"> — choisir une seule variante</w:t>
      </w:r>
    </w:p>
    <w:p>
      <w:pPr>
        <w:pStyle w:val="Variante"/>
      </w:pPr>
      <w:r>
        <w:t xml:space="preserve">Variante : Formule légale</w:t>
      </w:r>
    </w:p>
    <w:p>
      <w:pPr>
        <w:pStyle w:val="Corps"/>
      </w:pPr>
      <w:r>
        <w:t xml:space="preserve">La réserve spéciale est calculée selon la formule officielle [Légal participation formula] à partir des agrégats certifiés [Légal formula inputs] et du rapprochement [Légal formula reconciliation]. L'ordre des opérations, les signes, unités et périodes de rattachement sont appliqués sans arrondi intermédiaire non prévu. Le résultat est rapproché des comptes arrêtés et de l'attestation des agrégats avant toute répartition.</w:t>
      </w:r>
    </w:p>
    <w:p>
      <w:pPr>
        <w:pStyle w:val="Variante"/>
      </w:pPr>
      <w:r>
        <w:t xml:space="preserve">Variante : Formule dérogatoire</w:t>
      </w:r>
    </w:p>
    <w:p>
      <w:pPr>
        <w:pStyle w:val="Corps"/>
      </w:pPr>
      <w:r>
        <w:t xml:space="preserve">La réserve spéciale est calculée selon [Derogatory formula] à partir de [Derogatory formula inputs] et comparée à la formule légale dans [Légal equivalence test]. La comparaison est effectuée sur le même exercice et à partir de données réconciliées. La formule dérogatoire n'est appliquée que si elle respecte le principe d'équivalence des avantages et le plafond légal choisi.</w:t>
      </w:r>
    </w:p>
    <w:p>
      <w:pPr>
        <w:pStyle w:val="Intertitre"/>
      </w:pPr>
      <w:r>
        <w:t xml:space="preserve">Clause optionnelle : Plafond de la formule dérogatoire</w:t>
      </w:r>
    </w:p>
    <w:p>
      <w:pPr>
        <w:pStyle w:val="Corps"/>
      </w:pPr>
      <w:r>
        <w:t xml:space="preserve">La réserve issue de la formule dérogatoire est limitée selon [Derogatory ceiling choice] et le calcul [Derogatory ceiling test]. Le choix du plafond est arrêté avant le calcul et appliqué à l'ensemble du périmètre concerné. Le dossier présente le résultat brut de la formule, le plafond obtenu et l'éventuelle réduction opérée.</w:t>
      </w:r>
    </w:p>
    <w:p>
      <w:pPr>
        <w:pStyle w:val="Intertitre"/>
      </w:pPr>
      <w:r>
        <w:t xml:space="preserve">Bénéfice net</w:t>
      </w:r>
    </w:p>
    <w:p>
      <w:pPr>
        <w:pStyle w:val="Corps"/>
      </w:pPr>
      <w:r>
        <w:t xml:space="preserve">Le bénéfice net retenu est [Net profit input] selon l'attestation [Net profit certificate] et les retraitements [Net profit adjustments]. Le dossier détaille le passage du résultat fiscal au bénéfice net de participation, l'impôt déduit, les bénéfices exonérés et toute correction admise. Aucun montant estimé ne remplace une donnée fiscale définitive sans règle applicable.</w:t>
      </w:r>
    </w:p>
    <w:p>
      <w:pPr>
        <w:pStyle w:val="Intertitre"/>
      </w:pPr>
      <w:r>
        <w:t xml:space="preserve">Capitaux propres</w:t>
      </w:r>
    </w:p>
    <w:p>
      <w:pPr>
        <w:pStyle w:val="Corps"/>
      </w:pPr>
      <w:r>
        <w:t xml:space="preserve">Les capitaux propres retenus sont [Equity input] selon [Equity definition compte-rendu] et leur contrôle [Equity reconciliation]. La méthode identifie les postes inclus, leur moyenne éventuelle, les variations de capital et les opérations intervenues pendant l'exercice. Le rapprochement conserve la trace des soldes d'ouverture, mouvements et soldes de clôture.</w:t>
      </w:r>
    </w:p>
    <w:p>
      <w:pPr>
        <w:pStyle w:val="Intertitre"/>
      </w:pPr>
      <w:r>
        <w:t xml:space="preserve">Salaires</w:t>
      </w:r>
    </w:p>
    <w:p>
      <w:pPr>
        <w:pStyle w:val="Corps"/>
      </w:pPr>
      <w:r>
        <w:t xml:space="preserve">Les salaires entrant dans la formule sont [Formula salary input] selon [Formula salary definition] et le rapprochement [Formula salary reconciliation]. L'assiette est rapprochée des déclarations sociales et des états de paie. Les exclusions, régularisations et changements de périmètre sont identifiés afin d'éviter toute double prise en compte ou omission.</w:t>
      </w:r>
    </w:p>
    <w:p>
      <w:pPr>
        <w:pStyle w:val="Intertitre"/>
      </w:pPr>
      <w:r>
        <w:t xml:space="preserve">Valeur ajoutée</w:t>
      </w:r>
    </w:p>
    <w:p>
      <w:pPr>
        <w:pStyle w:val="Corps"/>
      </w:pPr>
      <w:r>
        <w:t xml:space="preserve">La valeur ajoutée retenue est [Value added input] selon [Value added definition compte-rendu] et le rapprochement [Value added reconciliation]. Chaque composante de la valeur ajoutée est reliée aux comptes correspondants et aux retraitements prévus. Le calcul est reproduit dans une annexe permettant d'en vérifier l'exhaustivité et la cohérence.</w:t>
      </w:r>
    </w:p>
    <w:p>
      <w:pPr>
        <w:pStyle w:val="Intertitre"/>
      </w:pPr>
      <w:r>
        <w:t xml:space="preserve">Attestation des agrégats</w:t>
      </w:r>
    </w:p>
    <w:p>
      <w:pPr>
        <w:pStyle w:val="Corps"/>
      </w:pPr>
      <w:r>
        <w:t xml:space="preserve">Les agrégats et le montant de la réserve sont certifiés ou attestés selon [Calcul certification procédure] et [Calcul certificate référence]. L'attestation identifie, pour chaque agrégat, l'exercice concerné, la source comptable, la méthode de calcul, les retraitements, le responsable du contrôle et la date de validation. Elle permet de reconstituer le passage des comptes arrêtés au montant de la réserve, puis de rapprocher la formule retenue, les plafonds et la répartition. Toute divergence entre les données sociales, fiscales et comptables est documentée et résolue avant l'information des bénéficiaires. L'attestation et ses annexes sont conservées avec les comptes, extractions et rapprochements utilisés. Une correction postérieure à la certification est datée, motivée, soumise au même niveau de contrôle et communiquée avant régularisation des droits.</w:t>
      </w:r>
    </w:p>
    <w:p>
      <w:pPr>
        <w:pStyle w:val="Intertitre"/>
      </w:pPr>
      <w:r>
        <w:t xml:space="preserve">Réserve nulle ou négative</w:t>
      </w:r>
    </w:p>
    <w:p>
      <w:pPr>
        <w:pStyle w:val="Corps"/>
      </w:pPr>
      <w:r>
        <w:t xml:space="preserve">Lorsque le calcul ne dégage aucune réserve distribuable, ce résultat est constaté selon [Zero reserve compte-rendu] et communiqué selon [Zero reserve information]. L'absence de réserve n'autorise ni report fictif ni compensation avec un autre exercice, sauf mécanisme expressément permis. L'information expose le résultat de la formule sans divulguer de données individuelles ou confidentielles.</w:t>
      </w:r>
    </w:p>
    <w:p>
      <w:pPr>
        <w:pStyle w:val="Intertitre"/>
      </w:pPr>
      <w:r>
        <w:t xml:space="preserve"> — choisir une seule variante</w:t>
      </w:r>
    </w:p>
    <w:p>
      <w:pPr>
        <w:pStyle w:val="Variante"/>
      </w:pPr>
      <w:r>
        <w:t xml:space="preserve">Variante : Répartition proportionnelle aux salaires</w:t>
      </w:r>
    </w:p>
    <w:p>
      <w:pPr>
        <w:pStyle w:val="Corps"/>
      </w:pPr>
      <w:r>
        <w:t xml:space="preserve">La réserve est répartie proportionnellement aux salaires selon [Salary attribution modalité], avec une base plafonnée à [Légal salary cap pass multiple] plafonds annuels selon [Salary cap contrôle]. Le dénominateur est la somme des salaires éligibles après application du plafond et du plancher éventuel. Chaque droit correspond à la réserve distribuable multipliée par le rapport entre l'assiette individuelle et ce total.</w:t>
      </w:r>
    </w:p>
    <w:p>
      <w:pPr>
        <w:pStyle w:val="Variante"/>
      </w:pPr>
      <w:r>
        <w:t xml:space="preserve">Variante : Répartition uniforme</w:t>
      </w:r>
    </w:p>
    <w:p>
      <w:pPr>
        <w:pStyle w:val="Corps"/>
      </w:pPr>
      <w:r>
        <w:t xml:space="preserve">La réserve est répartie uniformément entre les bénéficiaires selon [Uniform attribution modalité]. L'effectif des bénéficiaires est arrêté à une date commune. La part unitaire résulte de la division de la réserve distribuable par cet effectif avant application du plafond individuel et traitement du reliquat.</w:t>
      </w:r>
    </w:p>
    <w:p>
      <w:pPr>
        <w:pStyle w:val="Variante"/>
      </w:pPr>
      <w:r>
        <w:t xml:space="preserve">Variante : Répartition selon la présence</w:t>
      </w:r>
    </w:p>
    <w:p>
      <w:pPr>
        <w:pStyle w:val="Corps"/>
      </w:pPr>
      <w:r>
        <w:t xml:space="preserve">La réserve est répartie proportionnellement à la présence selon [Presence attribution modalité] et [Presence attribution equivalences]. Le dénominateur est la somme des durées de présence retenues après assimilation des absences protégées. Chaque droit est calculé au prorata de la présence individuelle ainsi déterminée.</w:t>
      </w:r>
    </w:p>
    <w:p>
      <w:pPr>
        <w:pStyle w:val="Variante"/>
      </w:pPr>
      <w:r>
        <w:t xml:space="preserve">Variante : Répartition combinée</w:t>
      </w:r>
    </w:p>
    <w:p>
      <w:pPr>
        <w:pStyle w:val="Corps"/>
      </w:pPr>
      <w:r>
        <w:t xml:space="preserve">La réserve est divisée en sous-masses de [Salary attribution share], [Presence attribution share] et [Uniform attribution share] selon [Combiné attribution contrôle]. Chaque sous-masse est répartie séparément selon son propre dénominateur. Les parts obtenues sont additionnées pour chaque bénéficiaire, puis soumises au plafond individuel et à la règle commune d'arrondi.</w:t>
      </w:r>
    </w:p>
    <w:p>
      <w:pPr>
        <w:pStyle w:val="Intertitre"/>
      </w:pPr>
      <w:r>
        <w:t xml:space="preserve">Plafond individuel</w:t>
      </w:r>
    </w:p>
    <w:p>
      <w:pPr>
        <w:pStyle w:val="Corps"/>
      </w:pPr>
      <w:r>
        <w:t xml:space="preserve">Les droits d'un bénéficiaire sont limités à [Légal individual cap rate] pour cent du plafond annuel applicable selon [Individual cap contrôle]. Le plafond est appliqué après addition de toutes les composantes attribuées au même bénéficiaire pour l'exercice. Les avances déjà imputées et tout supplément concernant le même exercice sont intégrés au contrôle.</w:t>
      </w:r>
    </w:p>
    <w:p>
      <w:pPr>
        <w:pStyle w:val="Intertitre"/>
      </w:pPr>
      <w:r>
        <w:t xml:space="preserve">Reliquat</w:t>
      </w:r>
    </w:p>
    <w:p>
      <w:pPr>
        <w:pStyle w:val="Corps"/>
      </w:pPr>
      <w:r>
        <w:t xml:space="preserve">Les sommes restant après plafonnement sont traitées selon [Attribution remainder procédure] et [Remainder reconciliation]. La redistribution ne profite qu'aux bénéficiaires n'ayant pas atteint leur plafond et suit le critère initial applicable à la somme concernée. Elle est répétée jusqu'à épuisement du reliquat ou saturation de tous les droits.</w:t>
      </w:r>
    </w:p>
    <w:p>
      <w:pPr>
        <w:pStyle w:val="Intertitre"/>
      </w:pPr>
      <w:r>
        <w:t xml:space="preserve"> — choisir une seule variante</w:t>
      </w:r>
    </w:p>
    <w:p>
      <w:pPr>
        <w:pStyle w:val="Variante"/>
      </w:pPr>
      <w:r>
        <w:t xml:space="preserve">Variante : Absence de supplément</w:t>
      </w:r>
    </w:p>
    <w:p>
      <w:pPr>
        <w:pStyle w:val="Corps"/>
      </w:pPr>
      <w:r>
        <w:t xml:space="preserve">Aucun supplément n'est prévu par le présent accord ; toute décision ultérieure suivra [Future supplement procédure]. La réserve distribuable est limitée au résultat de la formule applicable. Une annonce, une provision ou une décision budgétaire ne constitue pas un supplément sans décision de l'organe compétent et traitement conforme.</w:t>
      </w:r>
    </w:p>
    <w:p>
      <w:pPr>
        <w:pStyle w:val="Variante"/>
      </w:pPr>
      <w:r>
        <w:t xml:space="preserve">Variante : Supplément de participation</w:t>
      </w:r>
    </w:p>
    <w:p>
      <w:pPr>
        <w:pStyle w:val="Corps"/>
      </w:pPr>
      <w:r>
        <w:t xml:space="preserve">Un supplément peut être décidé par [Supplement décision body] selon [Supplement procédure], réparti selon [Supplement attribution] et contrôlé par [Supplement cap contrôle]. La décision précise l'exercice, le montant et la date d'attribution. Le supplément est ajouté aux droits pour le contrôle des plafonds, puis affecté ou versé selon les règles applicables aux sommes de participation.</w:t>
      </w:r>
    </w:p>
    <w:p>
      <w:pPr>
        <w:pStyle w:val="Intertitre"/>
      </w:pPr>
      <w:r>
        <w:t xml:space="preserve"> — choisir une seule variante</w:t>
      </w:r>
    </w:p>
    <w:p>
      <w:pPr>
        <w:pStyle w:val="Variante"/>
      </w:pPr>
      <w:r>
        <w:t xml:space="preserve">Variante : Absence d'avances</w:t>
      </w:r>
    </w:p>
    <w:p>
      <w:pPr>
        <w:pStyle w:val="Corps"/>
      </w:pPr>
      <w:r>
        <w:t xml:space="preserve">Aucune avance n'est versée avant l'arrêté définitif de la réserve selon [No advance contrôle]. Aucun droit exigible n'est reconnu avant l'arrêté définitif de la réserve. Les informations intermédiaires sont présentées comme provisoires et ne valent ni attribution ni engagement de paiement.</w:t>
      </w:r>
    </w:p>
    <w:p>
      <w:pPr>
        <w:pStyle w:val="Variante"/>
      </w:pPr>
      <w:r>
        <w:t xml:space="preserve">Variante : Avances sur participation</w:t>
      </w:r>
    </w:p>
    <w:p>
      <w:pPr>
        <w:pStyle w:val="Corps"/>
      </w:pPr>
      <w:r>
        <w:t xml:space="preserve">Des avances peuvent être versées avec l'accord du bénéficiaire selon [Advance schedule], [Advance consent procédure] et [Advance reconciliation règles]. Chaque avance est rattachée à un exercice et imputée sur le droit définitif correspondant. Si les avances excèdent ce droit, la régularisation suit la procédure convenue et les protections applicables au bénéficiaire.</w:t>
      </w:r>
    </w:p>
    <w:p>
      <w:pPr>
        <w:pStyle w:val="Intertitre"/>
      </w:pPr>
      <w:r>
        <w:t xml:space="preserve">Demande de versement immédiat</w:t>
      </w:r>
    </w:p>
    <w:p>
      <w:pPr>
        <w:pStyle w:val="Corps"/>
      </w:pPr>
      <w:r>
        <w:t xml:space="preserve">Le bénéficiaire peut demander le versement de tout ou partie de ses droits selon [Immediate payment request procédure] et [Immediate payment échéance contrôle]. L'information individuelle indique le montant disponible, le délai de réponse, le canal de demande et les conséquences d'une absence de choix. La preuve de la demande et de sa date est conservée.</w:t>
      </w:r>
    </w:p>
    <w:p>
      <w:pPr>
        <w:pStyle w:val="Intertitre"/>
      </w:pPr>
      <w:r>
        <w:t xml:space="preserve">Indisponibilité</w:t>
      </w:r>
    </w:p>
    <w:p>
      <w:pPr>
        <w:pStyle w:val="Corps"/>
      </w:pPr>
      <w:r>
        <w:t xml:space="preserve">À défaut de versement immédiat, les droits deviennent disponibles après [Légal unavailability years] années à compter de [Légal availability début], sauf déblocage anticipé selon [Early release procédure]. Le point de départ et le terme de l'indisponibilité sont calculés pour chaque exercice. Une demande de déblocage anticipé est instruite sur pièces, dans le délai applicable et seulement pour le cas légal invoqué.</w:t>
      </w:r>
    </w:p>
    <w:p>
      <w:pPr>
        <w:pStyle w:val="Intertitre"/>
      </w:pPr>
      <w:r>
        <w:t xml:space="preserve"> — choisir une seule variante</w:t>
      </w:r>
    </w:p>
    <w:p>
      <w:pPr>
        <w:pStyle w:val="Variante"/>
      </w:pPr>
      <w:r>
        <w:t xml:space="preserve">Variante : Affectation à un PEE</w:t>
      </w:r>
    </w:p>
    <w:p>
      <w:pPr>
        <w:pStyle w:val="Corps"/>
      </w:pPr>
      <w:r>
        <w:t xml:space="preserve">Les droits indisponibles sont affectés au plan d'épargne d'entreprise [Pee référence] selon [Pee management règles] et les supports [Pee investment options]. L'information précise les supports, leurs risques, les frais, la durée d'indisponibilité et les modalités d'arbitrage. L'affectation est exécutée conformément au choix valable du bénéficiaire ou à la règle par défaut applicable.</w:t>
      </w:r>
    </w:p>
    <w:p>
      <w:pPr>
        <w:pStyle w:val="Variante"/>
      </w:pPr>
      <w:r>
        <w:t xml:space="preserve">Variante : Affectation à un PEI</w:t>
      </w:r>
    </w:p>
    <w:p>
      <w:pPr>
        <w:pStyle w:val="Corps"/>
      </w:pPr>
      <w:r>
        <w:t xml:space="preserve">Les droits indisponibles sont affectés au plan d'épargne interentreprises [Pei référence] selon [Pei management règles] et les supports [Pei investment options]. La convention du plan, le teneur de compte, les supports et les frais sont identifiés avant l'affectation. La preuve de l'information et de l'ordre transmis est conservée pour chaque bénéficiaire.</w:t>
      </w:r>
    </w:p>
    <w:p>
      <w:pPr>
        <w:pStyle w:val="Variante"/>
      </w:pPr>
      <w:r>
        <w:t xml:space="preserve">Variante : Affectation combinée avec un plan retraite</w:t>
      </w:r>
    </w:p>
    <w:p>
      <w:pPr>
        <w:pStyle w:val="Corps"/>
      </w:pPr>
      <w:r>
        <w:t xml:space="preserve">L'affectation par défaut et les choix entre [Entreprise savings plan référence] et [Retirement savings plan référence] suivent [Combiné default attribution]. Le formulaire distingue clairement les montants dirigés vers chaque plan, les délais, l'indisponibilité et la fiscalité d'information associée. Une absence de choix est traitée exclusivement selon la règle par défaut documentée.</w:t>
      </w:r>
    </w:p>
    <w:p>
      <w:pPr>
        <w:pStyle w:val="Intertitre"/>
      </w:pPr>
      <w:r>
        <w:t xml:space="preserve">Frais et revenus</w:t>
      </w:r>
    </w:p>
    <w:p>
      <w:pPr>
        <w:pStyle w:val="Corps"/>
      </w:pPr>
      <w:r>
        <w:t xml:space="preserve">Les frais de tenue, droits d'entrée, revenus et arbitrages sont traités selon [Management fee règles] et [Investment income règles]. L'accord distingue les frais supportés par l'entreprise, ceux prélevés sur les avoirs et ceux dus après le départ du bénéficiaire. Les revenus et plus-values sont capitalisés ou distribués selon le règlement du support concerné.</w:t>
      </w:r>
    </w:p>
    <w:p>
      <w:pPr>
        <w:pStyle w:val="Intertitre"/>
      </w:pPr>
      <w:r>
        <w:t xml:space="preserve">Information collective</w:t>
      </w:r>
    </w:p>
    <w:p>
      <w:pPr>
        <w:pStyle w:val="Corps"/>
      </w:pPr>
      <w:r>
        <w:t xml:space="preserve">Les bénéficiaires sont informés de l'accord, de la réserve et de sa mise en œuvre selon [Collective information procédure] et [Information schedule]. L'information présente le périmètre, la formule, les critères de répartition, les modes d'affectation et les interlocuteurs. Elle intervient dans un délai permettant aux salariés de comprendre le dispositif avant l'exercice de leurs choix.</w:t>
      </w:r>
    </w:p>
    <w:p>
      <w:pPr>
        <w:pStyle w:val="Intertitre"/>
      </w:pPr>
      <w:r>
        <w:t xml:space="preserve">Information individuelle</w:t>
      </w:r>
    </w:p>
    <w:p>
      <w:pPr>
        <w:pStyle w:val="Corps"/>
      </w:pPr>
      <w:r>
        <w:t xml:space="preserve">Chaque bénéficiaire reçoit [Individual statement contents] selon [Individual statement remise] avec les choix et délais [Individual choice information]. Le relevé distingue la réserve globale, le droit brut, les prélèvements, le choix d'affectation ou de versement, les dates de disponibilité et les voies de contestation. Il permet de reconstituer le calcul individuel.</w:t>
      </w:r>
    </w:p>
    <w:p>
      <w:pPr>
        <w:pStyle w:val="Intertitre"/>
      </w:pPr>
      <w:r>
        <w:t xml:space="preserve">Bénéficiaires partis</w:t>
      </w:r>
    </w:p>
    <w:p>
      <w:pPr>
        <w:pStyle w:val="Corps"/>
      </w:pPr>
      <w:r>
        <w:t xml:space="preserve">Les bénéficiaires ayant quitté le périmètre sont recherchés et informés selon [Departed beneficiary procédure] ; leurs droits sont traités selon [Unclaimed rights procédure]. Le bénéficiaire parti reste tenu de communiquer des coordonnées valides. Les recherches, avis, frais éventuels et transferts de sommes sont tracés jusqu'au paiement ou à l'application de la procédure prévue pour les droits non réclamés.</w:t>
      </w:r>
    </w:p>
    <w:p>
      <w:pPr>
        <w:pStyle w:val="Intertitre"/>
      </w:pPr>
      <w:r>
        <w:t xml:space="preserve"> — choisir une seule variante</w:t>
      </w:r>
    </w:p>
    <w:p>
      <w:pPr>
        <w:pStyle w:val="Variante"/>
      </w:pPr>
      <w:r>
        <w:t xml:space="preserve">Variante : Suivi par le CSE</w:t>
      </w:r>
    </w:p>
    <w:p>
      <w:pPr>
        <w:pStyle w:val="Corps"/>
      </w:pPr>
      <w:r>
        <w:t xml:space="preserve">Le CSE suit l'application selon [Cse monitoring procédure] et reçoit [Cse monitoring information]. Les données sont transmises suffisamment tôt pour permettre un examen utile avant affectation ou versement. Les questions, réponses et éventuels désaccords sont consignés au procès-verbal sans modification rétroactive de la formule.</w:t>
      </w:r>
    </w:p>
    <w:p>
      <w:pPr>
        <w:pStyle w:val="Variante"/>
      </w:pPr>
      <w:r>
        <w:t xml:space="preserve">Variante : Commission de suivi</w:t>
      </w:r>
    </w:p>
    <w:p>
      <w:pPr>
        <w:pStyle w:val="Corps"/>
      </w:pPr>
      <w:r>
        <w:t xml:space="preserve">La commission [Monitoring commission nom] composée selon [Monitoring commission composition] contrôle l'exécution avec [Monitoring commission resources]. La commission se réunit lors de l'arrêté de la réserve et de la présentation du bilan annuel. Sa composition, ses accès, ses observations et les réponses apportées sont consignés dans un relevé transmis aux signataires.</w:t>
      </w:r>
    </w:p>
    <w:p>
      <w:pPr>
        <w:pStyle w:val="Variante"/>
      </w:pPr>
      <w:r>
        <w:t xml:space="preserve">Variante : Suivi par les signataires</w:t>
      </w:r>
    </w:p>
    <w:p>
      <w:pPr>
        <w:pStyle w:val="Corps"/>
      </w:pPr>
      <w:r>
        <w:t xml:space="preserve">Les signataires assurent le suivi selon [Signataire monitoring procédure] et [Monitoring meeting schedule]. Une réunion peut être demandée en cas d'écart, d'incident de données ou de contestation de calcul. Toute interprétation est formalisée sans substituer une décision d'opportunité à la formule arrêtée.</w:t>
      </w:r>
    </w:p>
    <w:p>
      <w:pPr>
        <w:pStyle w:val="Intertitre"/>
      </w:pPr>
      <w:r>
        <w:t xml:space="preserve">Documents de suivi</w:t>
      </w:r>
    </w:p>
    <w:p>
      <w:pPr>
        <w:pStyle w:val="Corps"/>
      </w:pPr>
      <w:r>
        <w:t xml:space="preserve">L'organe de suivi accède à [Monitoring document liste] dans les délais [Monitoring information deadlines] et selon les règles de confidentialité [Monitoring confidentiality règles]. Les documents remis permettent de rapprocher les comptes arrêtés, les agrégats certifiés, la réserve calculée, les plafonds, la répartition et les sommes effectivement affectées ou versées.</w:t>
      </w:r>
    </w:p>
    <w:p>
      <w:pPr>
        <w:pStyle w:val="Intertitre"/>
      </w:pPr>
      <w:r>
        <w:t xml:space="preserve">Rapport annuel</w:t>
      </w:r>
    </w:p>
    <w:p>
      <w:pPr>
        <w:pStyle w:val="Corps"/>
      </w:pPr>
      <w:r>
        <w:t xml:space="preserve">Après chaque exercice, [Application report contents] est présenté avec [Calcul variance analysis] et [Attribution reconciliation report]. Le rapport rapproche les agrégats, la réserve, les plafonds, la répartition, les affectations, les paiements et les reliquats. Il expose également les corrections, réclamations, droits non réclamés et mesures prises pendant l'exercice.</w:t>
      </w:r>
    </w:p>
    <w:p>
      <w:pPr>
        <w:pStyle w:val="Intertitre"/>
      </w:pPr>
      <w:r>
        <w:t xml:space="preserve">Règlement des différends</w:t>
      </w:r>
    </w:p>
    <w:p>
      <w:pPr>
        <w:pStyle w:val="Corps"/>
      </w:pPr>
      <w:r>
        <w:t xml:space="preserve">Les difficultés de calcul, répartition ou gestion sont soumises à [Contestation resolution body] selon [Contestation resolution procédure] et [Contestation resolution deadlines]. La réclamation identifie le calcul, l'affectation ou la gestion contestée et les pièces invoquées. Le recours à l'organe de suivi ne prive aucune partie ni aucun bénéficiaire des voies de droit applicables.</w:t>
      </w:r>
    </w:p>
    <w:p>
      <w:pPr>
        <w:pStyle w:val="Intertitre"/>
      </w:pPr>
      <w:r>
        <w:t xml:space="preserve"> — choisir une seule variante</w:t>
      </w:r>
    </w:p>
    <w:p>
      <w:pPr>
        <w:pStyle w:val="Variante"/>
      </w:pPr>
      <w:r>
        <w:t xml:space="preserve">Variante : Durée déterminée</w:t>
      </w:r>
    </w:p>
    <w:p>
      <w:pPr>
        <w:pStyle w:val="Corps"/>
      </w:pPr>
      <w:r>
        <w:t xml:space="preserve">L'accord s'applique du [Accord début date] au [Accord fin date] selon [Fixed term compte-rendu]. Les calculs, informations, affectations et règlements relatifs à un exercice clos avant son terme se poursuivent jusqu'à leur complet achèvement. Toute reconduction ou prorogation exige un acte conclu et déposé dans les conditions applicables.</w:t>
      </w:r>
    </w:p>
    <w:p>
      <w:pPr>
        <w:pStyle w:val="Variante"/>
      </w:pPr>
      <w:r>
        <w:t xml:space="preserve">Variante : Durée indéterminée</w:t>
      </w:r>
    </w:p>
    <w:p>
      <w:pPr>
        <w:pStyle w:val="Corps"/>
      </w:pPr>
      <w:r>
        <w:t xml:space="preserve">L'accord prend effet le [Accord début date] pour une durée indéterminée selon [Indefinite term compte-rendu]. Chaque exercice ouvert demeure régi par les stipulations en vigueur à son commencement, sous réserve des règles impératives. La fin de l'accord n'interrompt pas les opérations de calcul et de règlement déjà engagées.</w:t>
      </w:r>
    </w:p>
    <w:p>
      <w:pPr>
        <w:pStyle w:val="Intertitre"/>
      </w:pPr>
      <w:r>
        <w:t xml:space="preserve">Révision</w:t>
      </w:r>
    </w:p>
    <w:p>
      <w:pPr>
        <w:pStyle w:val="Corps"/>
      </w:pPr>
      <w:r>
        <w:t xml:space="preserve">L'accord peut être révisé par avenant selon [Revision procédure] et [Revision calendrier contrôle]. L'avenant précise sa date d'effet, les stipulations remplacées et le traitement des exercices en cours. Il ne modifie pas rétroactivement une formule dont les données ou résultats sont déjà connus.</w:t>
      </w:r>
    </w:p>
    <w:p>
      <w:pPr>
        <w:pStyle w:val="Intertitre"/>
      </w:pPr>
      <w:r>
        <w:t xml:space="preserve">Dénonciation</w:t>
      </w:r>
    </w:p>
    <w:p>
      <w:pPr>
        <w:pStyle w:val="Corps"/>
      </w:pPr>
      <w:r>
        <w:t xml:space="preserve">La dénonciation suit [Denunciation procédure] avec information de [Denunciation destinataires] et traitement des exercices en cours selon [Current exercise protection]. Le dossier retrace l'auteur, la date, la notification et le dépôt. Les droits afférents aux exercices clos ou régulièrement ouverts sont protégés selon les règles applicables et continuent d'être calculés et gérés.</w:t>
      </w:r>
    </w:p>
    <w:p>
      <w:pPr>
        <w:pStyle w:val="Intertitre"/>
      </w:pPr>
      <w:r>
        <w:t xml:space="preserve">Dépôt</w:t>
      </w:r>
    </w:p>
    <w:p>
      <w:pPr>
        <w:pStyle w:val="Corps"/>
      </w:pPr>
      <w:r>
        <w:t xml:space="preserve">L'accord et ses pièces sont déposés par [Filing responsible] selon [Filing procédure], avec reçu [Filing récépissé] et contrôle [Filing échéance contrôle]. Le dossier déposé correspond à la version effectivement signée et comprend les justificatifs du mode de conclusion. Les demandes de l'administration et les réponses apportées sont tracées et communiquées aux signataires.</w:t>
      </w:r>
    </w:p>
    <w:p>
      <w:pPr>
        <w:pStyle w:val="Intertitre"/>
      </w:pPr>
      <w:r>
        <w:t xml:space="preserve">Copies et conservation</w:t>
      </w:r>
    </w:p>
    <w:p>
      <w:pPr>
        <w:pStyle w:val="Corps"/>
      </w:pPr>
      <w:r>
        <w:t xml:space="preserve">Les exemplaires signés sont remis à [Signed exemplaire destinataires] et conservés avec [Accord supporting records] selon [Accord conservation procédure]. La conservation garantit l'intégrité de l'accord, de ses avenants, preuves de conclusion, attestations de calcul et récépissés. Les accès et durées de conservation sont adaptés à la nature des données détenues.</w:t>
      </w:r>
    </w:p>
    <w:p>
      <w:pPr>
        <w:pStyle w:val="Intertitre"/>
      </w:pPr>
      <w:r>
        <w:t xml:space="preserve">Clause optionnelle : Signatures</w:t>
      </w:r>
    </w:p>
    <w:p>
      <w:pPr>
        <w:pStyle w:val="Corps"/>
      </w:pPr>
      <w:r>
        <w:t xml:space="preserve">Fait à [Signature lieu] le [Signature date]. L'accord est signé par [Authorized signataire tableau] selon [Signature autorité compte-rendu]. Chaque signature est précédée de l'identité et de la qualité de son auteur. Les signatures apposées sur des exemplaires séparés sont rattachées à une version identique de l'accord et réunies dans le dossier de conclusion.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