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REQUÊTE EN REVENDICATION FONDÉE SUR UNE CLAUSE DE RÉSERVE DE PROPRIÉTÉ</w:t>
      </w:r>
    </w:p>
    <w:p>
      <w:pPr>
        <w:pStyle w:val="Intertitre"/>
      </w:pPr>
      <w:r>
        <w:t xml:space="preserve">À Monsieur ou Madame le juge-commissaire</w:t>
      </w:r>
    </w:p>
    <w:p>
      <w:pPr>
        <w:pStyle w:val="Corps"/>
      </w:pPr>
      <w:r>
        <w:t xml:space="preserve">La présente requête est soumise au juge-commissaire de [Tribunal de l'insolvabilité], saisi de la procédure collective référencée [Référence de la procédure collective].</w:t>
      </w:r>
    </w:p>
    <w:p>
      <w:pPr>
        <w:pStyle w:val="Corps"/>
      </w:pPr>
      <w:r>
        <w:t xml:space="preserve">La compétence est contrôlée à partir du jugement d'ouverture, de la désignation du juge-commissaire et de l'état actuel de la procédure. La requête ne suppose aucune juridiction ni référence absente des pièces.</w:t>
      </w:r>
    </w:p>
    <w:p>
      <w:pPr>
        <w:pStyle w:val="Intertitre"/>
      </w:pPr>
      <w:r>
        <w:t xml:space="preserve">Jugement d'ouverture</w:t>
      </w:r>
    </w:p>
    <w:p>
      <w:pPr>
        <w:pStyle w:val="Corps"/>
      </w:pPr>
      <w:r>
        <w:t xml:space="preserve">La procédure concernant [Entité débitrice] a été ouverte par [Arrêt d'ouverture]. Cette décision fixe le cadre procédural dans lequel la revendication est exercée.</w:t>
      </w:r>
    </w:p>
    <w:p>
      <w:pPr>
        <w:pStyle w:val="Corps"/>
      </w:pPr>
      <w:r>
        <w:t xml:space="preserve">Sont précisés la date du jugement, sa publication, la nature de la procédure et les organes désignés. Ces dates commandent le calcul des délais de revendication et de saisine.</w:t>
      </w:r>
    </w:p>
    <w:p>
      <w:pPr>
        <w:pStyle w:val="Intertitre"/>
      </w:pPr>
      <w:r>
        <w:t xml:space="preserve">Requérant</w:t>
      </w:r>
    </w:p>
    <w:p>
      <w:pPr>
        <w:pStyle w:val="Corps"/>
      </w:pPr>
      <w:r>
        <w:t xml:space="preserve">Le requérant est [Fournisseur requérant]. Son identité, sa qualité de vendeur et ses éléments d'immatriculation ou d'état civil résultent de [Identité et qualité des parties].</w:t>
      </w:r>
    </w:p>
    <w:p>
      <w:pPr>
        <w:pStyle w:val="Corps"/>
      </w:pPr>
      <w:r>
        <w:t xml:space="preserve">Le dossier vérifie la concordance entre le vendeur, le cocontractant désigné sur les commandes et factures, le bénéficiaire de la clause et le titulaire actuel de la créance invoquée.</w:t>
      </w:r>
    </w:p>
    <w:p>
      <w:pPr>
        <w:pStyle w:val="Intertitre"/>
      </w:pPr>
      <w:r>
        <w:t xml:space="preserve">Représentation du requérant</w:t>
      </w:r>
    </w:p>
    <w:p>
      <w:pPr>
        <w:pStyle w:val="Corps"/>
      </w:pPr>
      <w:r>
        <w:t xml:space="preserve">Le requérant est représenté ou assisté par [Représentant du requérant], dont le pouvoir et la qualité pour présenter la requête ont été vérifiés.</w:t>
      </w:r>
    </w:p>
    <w:p>
      <w:pPr>
        <w:pStyle w:val="Corps"/>
      </w:pPr>
      <w:r>
        <w:t xml:space="preserve">Le mandat identifie la procédure, le requérant et les actes autorisés. Une représentation alléguée sans pouvoir exploitable bloque la signature et le dépôt de la requête.</w:t>
      </w:r>
    </w:p>
    <w:p>
      <w:pPr>
        <w:pStyle w:val="Intertitre"/>
      </w:pPr>
      <w:r>
        <w:t xml:space="preserve">Organes de la procédure</w:t>
      </w:r>
    </w:p>
    <w:p>
      <w:pPr>
        <w:pStyle w:val="Corps"/>
      </w:pPr>
      <w:r>
        <w:t xml:space="preserve">Les organes désignés dans la procédure et destinataires des démarches de revendication sont [Titulaires d'une charge de l'insolvabilité]. Leurs qualités sont rapprochées du jugement d'ouverture.</w:t>
      </w:r>
    </w:p>
    <w:p>
      <w:pPr>
        <w:pStyle w:val="Corps"/>
      </w:pPr>
      <w:r>
        <w:t xml:space="preserve">Le tableau distingue l'administrateur, le mandataire judiciaire, le débiteur et, le cas échéant, le liquidateur. Chaque démarche est adressée à son destinataire légal avec copie aux autres organes requis.</w:t>
      </w:r>
    </w:p>
    <w:p>
      <w:pPr>
        <w:pStyle w:val="Intertitre"/>
      </w:pPr>
      <w:r>
        <w:t xml:space="preserve">Contrats et documents de vente</w:t>
      </w:r>
    </w:p>
    <w:p>
      <w:pPr>
        <w:pStyle w:val="Corps"/>
      </w:pPr>
      <w:r>
        <w:t xml:space="preserve">Les ventes invoquées sont établies par [Documents de vente]. Ces pièces permettent d'identifier les commandes, les biens, les conditions convenues et le débiteur acheteur.</w:t>
      </w:r>
    </w:p>
    <w:p>
      <w:pPr>
        <w:pStyle w:val="Corps"/>
      </w:pPr>
      <w:r>
        <w:t xml:space="preserve">Le relevé est établi facture par facture et mentionne la date de commande, la clause applicable, la livraison, le prix, les paiements reçus et le solde. Aucun regroupement ne masque une chaîne documentaire incomplète.</w:t>
      </w:r>
    </w:p>
    <w:p>
      <w:pPr>
        <w:pStyle w:val="Intertitre"/>
      </w:pPr>
      <w:r>
        <w:t xml:space="preserve">Clause de réserve de propriété</w:t>
      </w:r>
    </w:p>
    <w:p>
      <w:pPr>
        <w:pStyle w:val="Corps"/>
      </w:pPr>
      <w:r>
        <w:t xml:space="preserve">La propriété a été réservée au vendeur par la clause référencée [Référence de la clause de réserve de propriété], convenue par écrit dans les documents contractuels opposables au débiteur.</w:t>
      </w:r>
    </w:p>
    <w:p>
      <w:pPr>
        <w:pStyle w:val="Corps"/>
      </w:pPr>
      <w:r>
        <w:t xml:space="preserve">Le texte exact de la clause, son support, sa date et son champ matériel sont produits. La réserve est rattachée aux ventes concernées sans l'étendre à des biens ou créances non couverts.</w:t>
      </w:r>
    </w:p>
    <w:p>
      <w:pPr>
        <w:pStyle w:val="Intertitre"/>
      </w:pPr>
      <w:r>
        <w:t xml:space="preserve">Acceptation antérieure à la livraison</w:t>
      </w:r>
    </w:p>
    <w:p>
      <w:pPr>
        <w:pStyle w:val="Corps"/>
      </w:pPr>
      <w:r>
        <w:t xml:space="preserve">L'acceptation de la clause au plus tard lors de chaque livraison ressort de [Preuve d'acceptation d'une clause]. La chronologie est vérifiée vente par vente, sans déduction tirée d'une relation habituelle.</w:t>
      </w:r>
    </w:p>
    <w:p>
      <w:pPr>
        <w:pStyle w:val="Corps"/>
      </w:pPr>
      <w:r>
        <w:t xml:space="preserve">Pour chaque livraison, le dossier identifie l'écrit reçu ou accepté par l'acheteur avant ou au plus tard lors de la remise. Une condition générale postérieure ou non opposable n'est pas substituée à cette preuve.</w:t>
      </w:r>
    </w:p>
    <w:p>
      <w:pPr>
        <w:pStyle w:val="Intertitre"/>
      </w:pPr>
      <w:r>
        <w:t xml:space="preserve">Livraisons</w:t>
      </w:r>
    </w:p>
    <w:p>
      <w:pPr>
        <w:pStyle w:val="Corps"/>
      </w:pPr>
      <w:r>
        <w:t xml:space="preserve">Les biens ont été remis selon [Calendrier de livraison]. Ce relevé rattache chaque livraison à la commande, au document de transport et à la facture correspondante.</w:t>
      </w:r>
    </w:p>
    <w:p>
      <w:pPr>
        <w:pStyle w:val="Corps"/>
      </w:pPr>
      <w:r>
        <w:t xml:space="preserve">Les quantités, références, numéros de lot ou de série et réserves de transport sont rapprochés des bons signés. Les livraisons partielles et retours sont ventilés afin d'éviter toute double revendication.</w:t>
      </w:r>
    </w:p>
    <w:p>
      <w:pPr>
        <w:pStyle w:val="Intertitre"/>
      </w:pPr>
      <w:r>
        <w:t xml:space="preserve">Factures demeurées impayées</w:t>
      </w:r>
    </w:p>
    <w:p>
      <w:pPr>
        <w:pStyle w:val="Corps"/>
      </w:pPr>
      <w:r>
        <w:t xml:space="preserve">Les factures concernées figurent dans [Calendrier des factures non payées] et le solde restant dû est [Solde non acquitté]. La demande réelle porte exclusivement sur les biens ou prix rattachés à ces impayés.</w:t>
      </w:r>
    </w:p>
    <w:p>
      <w:pPr>
        <w:pStyle w:val="Corps"/>
      </w:pPr>
      <w:r>
        <w:t xml:space="preserve">Le tableau retrace les échéances, avoirs, paiements, imputations et éventuelles compensations. Le total demandé est rapproché de la comptabilité vendeur et de la situation déclarée dans la procédure.</w:t>
      </w:r>
    </w:p>
    <w:p>
      <w:pPr>
        <w:pStyle w:val="Intertitre"/>
      </w:pPr>
      <w:r>
        <w:t xml:space="preserve">Inventaire et localisation</w:t>
      </w:r>
    </w:p>
    <w:p>
      <w:pPr>
        <w:pStyle w:val="Corps"/>
      </w:pPr>
      <w:r>
        <w:t xml:space="preserve">La présence, l'état et la localisation des biens au jour des constatations ressortent de [Données d'inventaire et de localisation]. Les numéros, lots, quantités et lieux concordent avec les documents de vente.</w:t>
      </w:r>
    </w:p>
    <w:p>
      <w:pPr>
        <w:pStyle w:val="Corps"/>
      </w:pPr>
      <w:r>
        <w:t xml:space="preserve">Le constat indique la date, l'auteur, le détenteur, les photographies et les éventuels scellés. Toute différence de quantité, d'état ou d'identification est isolée avant de formuler la demande.</w:t>
      </w:r>
    </w:p>
    <w:p>
      <w:pPr>
        <w:pStyle w:val="Intertitre"/>
      </w:pPr>
      <w:r>
        <w:t xml:space="preserve">État des biens — choisir une seule variante</w:t>
      </w:r>
    </w:p>
    <w:p>
      <w:pPr>
        <w:pStyle w:val="Variante"/>
      </w:pPr>
      <w:r>
        <w:t xml:space="preserve">Variante : Biens retrouvés en nature</w:t>
      </w:r>
    </w:p>
    <w:p>
      <w:pPr>
        <w:pStyle w:val="Corps"/>
      </w:pPr>
      <w:r>
        <w:t xml:space="preserve">Les biens revendiqués et encore identifiables en nature sont [Biens identifiables]. Leur individualisation permet leur rapprochement sans ambiguïté avec les livraisons impayées.</w:t>
      </w:r>
    </w:p>
    <w:p>
      <w:pPr>
        <w:pStyle w:val="Corps"/>
      </w:pPr>
      <w:r>
        <w:t xml:space="preserve">Le rapprochement est réalisé unité par unité ou par ensemble fongible admissible, au moyen des références commerciales et matérielles. Les biens déjà consommés, cédés ou confondus sont exclus de cette branche.</w:t>
      </w:r>
    </w:p>
    <w:p>
      <w:pPr>
        <w:pStyle w:val="Variante"/>
      </w:pPr>
      <w:r>
        <w:t xml:space="preserve">Variante : Biens incorporés ou transformés</w:t>
      </w:r>
    </w:p>
    <w:p>
      <w:pPr>
        <w:pStyle w:val="Corps"/>
      </w:pPr>
      <w:r>
        <w:t xml:space="preserve">Les biens incorporés ou transformés sont [Biens transformés]. Leur historique est [Historique de la transformation] et l'analyse de leur séparation sans dommage est [Analyse de la séparabilité].</w:t>
      </w:r>
    </w:p>
    <w:p>
      <w:pPr>
        <w:pStyle w:val="Corps"/>
      </w:pPr>
      <w:r>
        <w:t xml:space="preserve">La requête décrit le bien support, les opérations d'incorporation et le coût ou dommage d'une séparation. Elle ne sollicite une revendication en nature que pour les éléments dont la séparabilité est effectivement établie.</w:t>
      </w:r>
    </w:p>
    <w:p>
      <w:pPr>
        <w:pStyle w:val="Intertitre"/>
      </w:pPr>
      <w:r>
        <w:t xml:space="preserve">Clause optionnelle : Prix de revente non payé</w:t>
      </w:r>
    </w:p>
    <w:p>
      <w:pPr>
        <w:pStyle w:val="Corps"/>
      </w:pPr>
      <w:r>
        <w:t xml:space="preserve">Les biens ont donné naissance à la créance de revente [Révente à recevoir] contre [Sous-acheteur]. Son état de paiement, de règlement en valeur ou de compensation est [Statut de paiement de revente].</w:t>
      </w:r>
    </w:p>
    <w:p>
      <w:pPr>
        <w:pStyle w:val="Corps"/>
      </w:pPr>
      <w:r>
        <w:t xml:space="preserve">La date de revente, le prix, les paiements antérieurs et postérieurs au jugement et les coordonnées du sous-acquéreur sont recensés. Seule la fraction encore due, non réglée en valeur et non compensée est retenue.</w:t>
      </w:r>
    </w:p>
    <w:p>
      <w:pPr>
        <w:pStyle w:val="Intertitre"/>
      </w:pPr>
      <w:r>
        <w:t xml:space="preserve">Clause optionnelle : Demande préalable</w:t>
      </w:r>
    </w:p>
    <w:p>
      <w:pPr>
        <w:pStyle w:val="Corps"/>
      </w:pPr>
      <w:r>
        <w:t xml:space="preserve">La demande préalable a été adressée le [Date de la demande antérieure] aux organes [Titulaires d'une charge de l'insolvabilité] par [Méthode de demande préalable]. Son issue ou l'absence d'acquiescement est [Résultat de la demande préalable].</w:t>
      </w:r>
    </w:p>
    <w:p>
      <w:pPr>
        <w:pStyle w:val="Corps"/>
      </w:pPr>
      <w:r>
        <w:t xml:space="preserve">La preuve comporte le contenu intégral, l'avis de réception et les copies obligatoires. Le délai d'acquiescement, toute réponse reçue et la date à laquelle la saisine devient nécessaire sont calculés séparément.</w:t>
      </w:r>
    </w:p>
    <w:p>
      <w:pPr>
        <w:pStyle w:val="Intertitre"/>
      </w:pPr>
      <w:r>
        <w:t xml:space="preserve">État du délai de revendication — choisir une seule variante</w:t>
      </w:r>
    </w:p>
    <w:p>
      <w:pPr>
        <w:pStyle w:val="Variante"/>
      </w:pPr>
      <w:r>
        <w:t xml:space="preserve">Variante : Requête formée dans le délai</w:t>
      </w:r>
    </w:p>
    <w:p>
      <w:pPr>
        <w:pStyle w:val="Corps"/>
      </w:pPr>
      <w:r>
        <w:t xml:space="preserve">Le calcul du délai applicable est [Calcul de la date limite] et repose sur [Preuves concernant le calendrier]. Il établit que la présente saisine intervient avant l'expiration du délai contrôlé.</w:t>
      </w:r>
    </w:p>
    <w:p>
      <w:pPr>
        <w:pStyle w:val="Corps"/>
      </w:pPr>
      <w:r>
        <w:t xml:space="preserve">Le calcul distingue le délai suivant la publication du jugement et le délai de saisine après absence d'acquiescement. Les points de départ, échéances et preuves de remise sont vérifiés sans approximation.</w:t>
      </w:r>
    </w:p>
    <w:p>
      <w:pPr>
        <w:pStyle w:val="Variante"/>
      </w:pPr>
      <w:r>
        <w:t xml:space="preserve">Variante : Route procédurale à réexaminer</w:t>
      </w:r>
    </w:p>
    <w:p>
      <w:pPr>
        <w:pStyle w:val="Corps"/>
      </w:pPr>
      <w:r>
        <w:t xml:space="preserve">Le délai de revendication ressort comme expiré selon [Calcul de la date limite] et [Preuves concernant le calendrier]. Aucune demande au fond n'est formulée dans cette branche, qui impose une analyse procédurale distincte.</w:t>
      </w:r>
    </w:p>
    <w:p>
      <w:pPr>
        <w:pStyle w:val="Corps"/>
      </w:pPr>
      <w:r>
        <w:t xml:space="preserve">Le document n'affirme ni relevé de forclusion ni recevabilité alternative. Il signale les dates et pièces à soumettre à une analyse distincte avant toute demande pouvant produire des effets procéduraux.</w:t>
      </w:r>
    </w:p>
    <w:p>
      <w:pPr>
        <w:pStyle w:val="Intertitre"/>
      </w:pPr>
      <w:r>
        <w:t xml:space="preserve">Qualité et intérêt à agir</w:t>
      </w:r>
    </w:p>
    <w:p>
      <w:pPr>
        <w:pStyle w:val="Corps"/>
      </w:pPr>
      <w:r>
        <w:t xml:space="preserve">Le requérant justifie être le vendeur demeuré propriétaire jusqu'au complet paiement. Sa qualité résulte conjointement des pièces de vente, de la clause et du défaut de paiement constaté.</w:t>
      </w:r>
    </w:p>
    <w:p>
      <w:pPr>
        <w:pStyle w:val="Corps"/>
      </w:pPr>
      <w:r>
        <w:t xml:space="preserve">Toute cession de créance, subrogation, fusion ou mandat d'encaissement est examinée pour identifier le titulaire du droit de propriété réservé. Le seul fait d'être créancier du prix ne suffit pas à établir ce titre.</w:t>
      </w:r>
    </w:p>
    <w:p>
      <w:pPr>
        <w:pStyle w:val="Intertitre"/>
      </w:pPr>
      <w:r>
        <w:t xml:space="preserve">Recevabilité de la saisine</w:t>
      </w:r>
    </w:p>
    <w:p>
      <w:pPr>
        <w:pStyle w:val="Corps"/>
      </w:pPr>
      <w:r>
        <w:t xml:space="preserve">La recevabilité est appréciée au regard du jugement d'ouverture, du délai, de la démarche préalable et de la saisine du juge-commissaire. Chaque élément est soutenu par une pièce numérotée.</w:t>
      </w:r>
    </w:p>
    <w:p>
      <w:pPr>
        <w:pStyle w:val="Corps"/>
      </w:pPr>
      <w:r>
        <w:t xml:space="preserve">La démonstration suit l'ordre des conditions : jugement et publication, délai initial, demande préalable, absence d'acquiescement ou contestation, puis saisine dans le délai. Chaque date renvoie à une annexe déterminée.</w:t>
      </w:r>
    </w:p>
    <w:p>
      <w:pPr>
        <w:pStyle w:val="Intertitre"/>
      </w:pPr>
      <w:r>
        <w:t xml:space="preserve">Fondements juridiques</w:t>
      </w:r>
    </w:p>
    <w:p>
      <w:pPr>
        <w:pStyle w:val="Corps"/>
      </w:pPr>
      <w:r>
        <w:t xml:space="preserve">La demande est fondée sur [Base juridique]. Les textes invoqués sont appliqués à la chronologie contractuelle et procédurale établie, sans présumer l'identité des biens.</w:t>
      </w:r>
    </w:p>
    <w:p>
      <w:pPr>
        <w:pStyle w:val="Corps"/>
      </w:pPr>
      <w:r>
        <w:t xml:space="preserve">Le raisonnement distingue les conditions de la revendication en nature, celles du report sur le prix et les règles procédurales de saisine. Chaque texte est cité dans sa version applicable aux dates du dossier.</w:t>
      </w:r>
    </w:p>
    <w:p>
      <w:pPr>
        <w:pStyle w:val="Intertitre"/>
      </w:pPr>
      <w:r>
        <w:t xml:space="preserve">Maintien du droit de propriété</w:t>
      </w:r>
    </w:p>
    <w:p>
      <w:pPr>
        <w:pStyle w:val="Corps"/>
      </w:pPr>
      <w:r>
        <w:t xml:space="preserve">L'analyse du titre du vendeur est [Analyse des titres]. Elle rapproche la convention écrite, son acceptation, la livraison, l'impayé et l'absence de transfert de propriété au débiteur.</w:t>
      </w:r>
    </w:p>
    <w:p>
      <w:pPr>
        <w:pStyle w:val="Corps"/>
      </w:pPr>
      <w:r>
        <w:t xml:space="preserve">La conclusion précise pour quelles factures et quels biens le transfert reste suspendu. Elle traite séparément les paiements partiels, les avoirs et les clauses qui ne satisfont pas à la condition d'acceptation écrite.</w:t>
      </w:r>
    </w:p>
    <w:p>
      <w:pPr>
        <w:pStyle w:val="Intertitre"/>
      </w:pPr>
      <w:r>
        <w:t xml:space="preserve">Application aux biens</w:t>
      </w:r>
    </w:p>
    <w:p>
      <w:pPr>
        <w:pStyle w:val="Corps"/>
      </w:pPr>
      <w:r>
        <w:t xml:space="preserve">Les constatations matérielles permettent d'appliquer le régime de revendication aux biens retrouvés en nature ou, s'ils ont été incorporés, à ceux dont la séparation est juridiquement et matériellement établie.</w:t>
      </w:r>
    </w:p>
    <w:p>
      <w:pPr>
        <w:pStyle w:val="Corps"/>
      </w:pPr>
      <w:r>
        <w:t xml:space="preserve">Pour chaque ligne, la requête confronte le titre, la livraison, l'inventaire et l'état actuel du bien. Les produits fongibles, incorporés, transformés ou disparus ne sont pas assimilés les uns aux autres.</w:t>
      </w:r>
    </w:p>
    <w:p>
      <w:pPr>
        <w:pStyle w:val="Intertitre"/>
      </w:pPr>
      <w:r>
        <w:t xml:space="preserve">Clause optionnelle : Application au prix de revente</w:t>
      </w:r>
    </w:p>
    <w:p>
      <w:pPr>
        <w:pStyle w:val="Corps"/>
      </w:pPr>
      <w:r>
        <w:t xml:space="preserve">Si les biens ont été revendus, le droit du vendeur se reporte seulement sur le prix ou sa fraction encore due au débiteur, dans l'état exactement établi par les pièces du sous-acquéreur.</w:t>
      </w:r>
    </w:p>
    <w:p>
      <w:pPr>
        <w:pStyle w:val="Corps"/>
      </w:pPr>
      <w:r>
        <w:t xml:space="preserve">La démonstration identifie le sous-acquéreur, la créance née de la revente et son solde à la date pertinente. Les paiements, règlements en valeur et compensations sont retranchés avant de chiffrer la fraction revendiquée.</w:t>
      </w:r>
    </w:p>
    <w:p>
      <w:pPr>
        <w:pStyle w:val="Intertitre"/>
      </w:pPr>
      <w:r>
        <w:t xml:space="preserve">Constat du droit de propriété</w:t>
      </w:r>
    </w:p>
    <w:p>
      <w:pPr>
        <w:pStyle w:val="Corps"/>
      </w:pPr>
      <w:r>
        <w:t xml:space="preserve">Il est demandé au juge-commissaire de faire droit à [Demande de propriété] dans les limites des biens et créances individualisés par les pièces produites.</w:t>
      </w:r>
    </w:p>
    <w:p>
      <w:pPr>
        <w:pStyle w:val="Corps"/>
      </w:pPr>
      <w:r>
        <w:t xml:space="preserve">Le dispositif reprend la liste et les quantités exactes, sans renvoi général à toutes les factures. Il distingue les biens revendiqués en nature de toute créance portant sur un prix de revente.</w:t>
      </w:r>
    </w:p>
    <w:p>
      <w:pPr>
        <w:pStyle w:val="Intertitre"/>
      </w:pPr>
      <w:r>
        <w:t xml:space="preserve">Restitution ou paiement</w:t>
      </w:r>
    </w:p>
    <w:p>
      <w:pPr>
        <w:pStyle w:val="Corps"/>
      </w:pPr>
      <w:r>
        <w:t xml:space="preserve">La mesure sollicitée à titre de restitution des biens ou de paiement du prix de revente est [Demande de retour ou de paiement]. Son exécution doit respecter l'état matériel et comptable constaté.</w:t>
      </w:r>
    </w:p>
    <w:p>
      <w:pPr>
        <w:pStyle w:val="Corps"/>
      </w:pPr>
      <w:r>
        <w:t xml:space="preserve">La demande précise le détenteur, le lieu, le délai et les modalités pratiques de remise, ou le débiteur et le montant de la créance de prix. Elle évite toute exécution plus large que le droit reconnu.</w:t>
      </w:r>
    </w:p>
    <w:p>
      <w:pPr>
        <w:pStyle w:val="Intertitre"/>
      </w:pPr>
      <w:r>
        <w:t xml:space="preserve">Décision sollicitée</w:t>
      </w:r>
    </w:p>
    <w:p>
      <w:pPr>
        <w:pStyle w:val="Corps"/>
      </w:pPr>
      <w:r>
        <w:t xml:space="preserve">Il est demandé que l'ordonnance identifie les biens ou créances admis, détermine la mesure de restitution ou de paiement et précise les diligences incombant aux organes de la procédure.</w:t>
      </w:r>
    </w:p>
    <w:p>
      <w:pPr>
        <w:pStyle w:val="Corps"/>
      </w:pPr>
      <w:r>
        <w:t xml:space="preserve">Le dispositif sollicite également la communication de l'ordonnance et les mesures nécessaires à son exécution, sans attribuer au juge un pouvoir non prévu. Chaque chef reste cohérent avec la branche factuelle retenue.</w:t>
      </w:r>
    </w:p>
    <w:p>
      <w:pPr>
        <w:pStyle w:val="Intertitre"/>
      </w:pPr>
      <w:r>
        <w:t xml:space="preserve">Clause optionnelle : Mesure conservatoire sollicitée</w:t>
      </w:r>
    </w:p>
    <w:p>
      <w:pPr>
        <w:pStyle w:val="Corps"/>
      </w:pPr>
      <w:r>
        <w:t xml:space="preserve">Dans l'attente de la décision définitive, il est demandé de préserver les biens ou la créance de prix selon la mesure conservatoire expressément sollicitée, sans autoriser leur déplacement ni leur paiement irréversible.</w:t>
      </w:r>
    </w:p>
    <w:p>
      <w:pPr>
        <w:pStyle w:val="Corps"/>
      </w:pPr>
      <w:r>
        <w:t xml:space="preserve">La mesure est limitée, proportionnée et rattachée à un risque décrit dans les pièces. Elle préserve la conservation ou la traçabilité sans préjuger de la décision définitive sur la propriété.</w:t>
      </w:r>
    </w:p>
    <w:p>
      <w:pPr>
        <w:pStyle w:val="Intertitre"/>
      </w:pPr>
      <w:r>
        <w:t xml:space="preserve">Frais et demandes accessoires</w:t>
      </w:r>
    </w:p>
    <w:p>
      <w:pPr>
        <w:pStyle w:val="Corps"/>
      </w:pPr>
      <w:r>
        <w:t xml:space="preserve">Les demandes relatives aux frais, dépens et mesures accessoires sont [Coûts et demandes accessoires]. Elles sont présentées séparément de la revendication principale.</w:t>
      </w:r>
    </w:p>
    <w:p>
      <w:pPr>
        <w:pStyle w:val="Corps"/>
      </w:pPr>
      <w:r>
        <w:t xml:space="preserve">Le fondement, le montant ou la méthode de détermination de chaque demande accessoire sont précisés. Aucun coût interne ou dépens non justifié n'est présenté comme automatiquement dû.</w:t>
      </w:r>
    </w:p>
    <w:p>
      <w:pPr>
        <w:pStyle w:val="Intertitre"/>
      </w:pPr>
      <w:r>
        <w:t xml:space="preserve">Bordereau des pièces</w:t>
      </w:r>
    </w:p>
    <w:p>
      <w:pPr>
        <w:pStyle w:val="Corps"/>
      </w:pPr>
      <w:r>
        <w:t xml:space="preserve">Les pièces communiquées au soutien de la requête sont récapitulées dans [Calendrier des pièces jointes]. Leur numérotation suit l'ordre des faits, de la recevabilité et des demandes.</w:t>
      </w:r>
    </w:p>
    <w:p>
      <w:pPr>
        <w:pStyle w:val="Corps"/>
      </w:pPr>
      <w:r>
        <w:t xml:space="preserve">Le bordereau relie chaque pièce à une condition : titre, acceptation, livraison, impayé, identification, revente, délai ou pouvoir. Les versions, dates et nombres de pages sont contrôlés avant dépôt.</w:t>
      </w:r>
    </w:p>
    <w:p>
      <w:pPr>
        <w:pStyle w:val="Intertitre"/>
      </w:pPr>
      <w:r>
        <w:t xml:space="preserve">Communication de la requête</w:t>
      </w:r>
    </w:p>
    <w:p>
      <w:pPr>
        <w:pStyle w:val="Corps"/>
      </w:pPr>
      <w:r>
        <w:t xml:space="preserve">La requête et ses pièces sont communiquées selon les modalités procédurales applicables aux organes de la procédure. La preuve de chaque transmission est conservée au dossier.</w:t>
      </w:r>
    </w:p>
    <w:p>
      <w:pPr>
        <w:pStyle w:val="Corps"/>
      </w:pPr>
      <w:r>
        <w:t xml:space="preserve">Le registre conserve le destinataire, le canal, la date et l'accusé de chaque envoi. Toute observation reçue des organes est versée au dossier et distinguée d'un acquiescement exprès.</w:t>
      </w:r>
    </w:p>
    <w:p>
      <w:pPr>
        <w:pStyle w:val="Intertitre"/>
      </w:pPr>
      <w:r>
        <w:t xml:space="preserve">Signature</w:t>
      </w:r>
    </w:p>
    <w:p>
      <w:pPr>
        <w:pStyle w:val="Corps"/>
      </w:pPr>
      <w:r>
        <w:t xml:space="preserve">Fait à [Lieu de signature], le [Date de signature]. La requête est signée par [Avocat signataire], après contrôle des pouvoirs, du délai, des pièces et des demandes actives.</w:t>
      </w:r>
    </w:p>
    <w:p>
      <w:pPr>
        <w:pStyle w:val="Corps"/>
      </w:pPr>
      <w:r>
        <w:t xml:space="preserve">La version signée est identique au dispositif et au bordereau transmis. Le signataire confirme la concordance des dates, montants, biens et demandes sans valider juridiquement les faits non établis.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