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ntion"/>
      </w:pPr>
      <w:r>
        <w:t xml:space="preserve">Trame de travail — à relire et à adapter à l'espèce avant tout usage. Ce document n'est ni un conseil juridique ni une trame validée pour un dossier particulier. Les mentions entre crochets sont à compléter ; dans LegalProd, elles se remplissent depuis la fiche du dossier client.</w:t>
      </w:r>
    </w:p>
    <w:p>
      <w:pPr>
        <w:pStyle w:val="Titre"/>
      </w:pPr>
      <w:r>
        <w:t xml:space="preserve">CONVENTION D'HONORAIRES AU TEMPS PASSÉ</w:t>
      </w:r>
    </w:p>
    <w:p>
      <w:pPr>
        <w:pStyle w:val="Intertitre"/>
      </w:pPr>
      <w:r>
        <w:t xml:space="preserve">Nature de la convention</w:t>
      </w:r>
    </w:p>
    <w:p>
      <w:pPr>
        <w:pStyle w:val="Corps"/>
      </w:pPr>
      <w:r>
        <w:t xml:space="preserve">La présente convention fixe les conditions dans lesquelles l'Avocat accomplit la mission définie pour le Client et détermine ses honoraires par référence au temps effectivement consacré. Elle remplace toute indication provisoire antérieure sur ces mêmes conditions, sans étendre la mission au-delà des diligences expressément décrites.</w:t>
      </w:r>
    </w:p>
    <w:p>
      <w:pPr>
        <w:pStyle w:val="Intertitre"/>
      </w:pPr>
      <w:r>
        <w:t xml:space="preserve">Information préalable sur les honoraires</w:t>
      </w:r>
    </w:p>
    <w:p>
      <w:pPr>
        <w:pStyle w:val="Corps"/>
      </w:pPr>
      <w:r>
        <w:t xml:space="preserve">Le Client reconnaît avoir reçu, avant de s'engager, une information intelligible sur les diligences prévisibles, le mode de calcul des honoraires, les frais, débours et émoluments possibles, ainsi que sur les principales modalités de facturation et de paiement. Toute estimation demeure rattachée aux hypothèses écrites de la présente convention.</w:t>
      </w:r>
    </w:p>
    <w:p>
      <w:pPr>
        <w:pStyle w:val="Intertitre"/>
      </w:pPr>
      <w:r>
        <w:t xml:space="preserve">Absence de rémunération exclusivement liée au résultat</w:t>
      </w:r>
    </w:p>
    <w:p>
      <w:pPr>
        <w:pStyle w:val="Corps"/>
      </w:pPr>
      <w:r>
        <w:t xml:space="preserve">La rémunération prévue repose sur le travail accompli et non exclusivement sur l'issue de l'affaire. Aucun honoraire complémentaire de résultat n'est institué par la présente convention ; un tel honoraire ne pourrait résulter que d'une stipulation distincte, écrite et licite, ajoutée à une rémunération des prestations effectivement réalisées.</w:t>
      </w:r>
    </w:p>
    <w:p>
      <w:pPr>
        <w:pStyle w:val="Intertitre"/>
      </w:pPr>
      <w:r>
        <w:t xml:space="preserve">Absence de garantie sur l'issue</w:t>
      </w:r>
    </w:p>
    <w:p>
      <w:pPr>
        <w:pStyle w:val="Corps"/>
      </w:pPr>
      <w:r>
        <w:t xml:space="preserve">L'Avocat fournit conseil, assistance et représentation avec diligence et prudence, mais ne garantit ni une décision, ni un délai imputable à une juridiction ou à un tiers, ni le recouvrement d'une somme. Les objectifs du Client sont les suivants : [Objectifs du Client] ; ils orientent la mission sans devenir une obligation de résultat.</w:t>
      </w:r>
    </w:p>
    <w:p>
      <w:pPr>
        <w:pStyle w:val="Intertitre"/>
      </w:pPr>
      <w:r>
        <w:t xml:space="preserve">Identification de l'Avocat et de sa structure</w:t>
      </w:r>
    </w:p>
    <w:p>
      <w:pPr>
        <w:pStyle w:val="Corps"/>
      </w:pPr>
      <w:r>
        <w:t xml:space="preserve">La mission est confiée à [Nom de l'Avocat], Avocat inscrit au Barreau de [Barreau d'inscription] sous [Numéro professionnel], exerçant au sein de [Dénomination du cabinet], [Forme du cabinet], située [Adresse du cabinet], immatriculée sous [Immatriculation du cabinet] et identifiée à la TVA sous [Numéro de TVA du cabinet]. Le cabinet est joignable à [Courriel du cabinet] et [Téléphone du cabinet].</w:t>
      </w:r>
    </w:p>
    <w:p>
      <w:pPr>
        <w:pStyle w:val="Intertitre"/>
      </w:pPr>
      <w:r>
        <w:t xml:space="preserve">Nature du Client — choisir une seule variante</w:t>
      </w:r>
    </w:p>
    <w:p>
      <w:pPr>
        <w:pStyle w:val="Variante"/>
      </w:pPr>
      <w:r>
        <w:t xml:space="preserve">Variante : Client personne physique</w:t>
      </w:r>
    </w:p>
    <w:p>
      <w:pPr>
        <w:pStyle w:val="Corps"/>
      </w:pPr>
      <w:r>
        <w:t xml:space="preserve">Le Client est [Nom du Client], né(e) [Naissance du Client], demeurant [Adresse du Client], joignable à [Courriel du Client] et [Téléphone du Client]. Il ou elle conclut la convention pour les besoins correspondant à la qualité déclarée dans le présent acte.</w:t>
      </w:r>
    </w:p>
    <w:p>
      <w:pPr>
        <w:pStyle w:val="Variante"/>
      </w:pPr>
      <w:r>
        <w:t xml:space="preserve">Variante : Client personne morale</w:t>
      </w:r>
    </w:p>
    <w:p>
      <w:pPr>
        <w:pStyle w:val="Corps"/>
      </w:pPr>
      <w:r>
        <w:t xml:space="preserve">Le Client est [Dénomination du Client], [Forme du Client], ayant son siège [Siège du Client], immatriculé sous [Immatriculation du Client], représenté par [Représentant du Client], agissant en qualité de [Qualité du représentant].</w:t>
      </w:r>
    </w:p>
    <w:p>
      <w:pPr>
        <w:pStyle w:val="Intertitre"/>
      </w:pPr>
      <w:r>
        <w:t xml:space="preserve">Clause optionnelle : Pouvoir du représentant du Client</w:t>
      </w:r>
    </w:p>
    <w:p>
      <w:pPr>
        <w:pStyle w:val="Corps"/>
      </w:pPr>
      <w:r>
        <w:t xml:space="preserve">Le pouvoir de [Représentant du Client] d'engager le Client personne morale résulte de [Justificatif du pouvoir]. Le justificatif est contrôlé avant signature et conservé au dossier ; la seule indication d'une fonction ne dispense pas de ce contrôle lorsqu'un doute existe.</w:t>
      </w:r>
    </w:p>
    <w:p>
      <w:pPr>
        <w:pStyle w:val="Intertitre"/>
      </w:pPr>
      <w:r>
        <w:t xml:space="preserve">Coordonnées contractuelles</w:t>
      </w:r>
    </w:p>
    <w:p>
      <w:pPr>
        <w:pStyle w:val="Corps"/>
      </w:pPr>
      <w:r>
        <w:t xml:space="preserve">Les échanges relatifs à la mission sont adressés au cabinet à [Courriel du cabinet] et au Client à [Courriel du Client]. Les factures et relevés sont transmis à [Destinataire des factures]. Chaque partie signale sans délai toute modification de ses coordonnées ou du représentant habilité.</w:t>
      </w:r>
    </w:p>
    <w:p>
      <w:pPr>
        <w:pStyle w:val="Intertitre"/>
      </w:pPr>
      <w:r>
        <w:t xml:space="preserve">Affaire confiée</w:t>
      </w:r>
    </w:p>
    <w:p>
      <w:pPr>
        <w:pStyle w:val="Corps"/>
      </w:pPr>
      <w:r>
        <w:t xml:space="preserve">La mission porte sur le dossier référencé [Référence de l'affaire], décrit comme suit : [Description de l'affaire]. Les parties adverses ou concernées identifiées sont [Parties adverses ou concernées] et la juridiction, l'autorité ou l'interlocuteur actuellement concerné est [Juridiction ou autorité].</w:t>
      </w:r>
    </w:p>
    <w:p>
      <w:pPr>
        <w:pStyle w:val="Intertitre"/>
      </w:pPr>
      <w:r>
        <w:t xml:space="preserve">Nature de la mission — choisir une seule variante</w:t>
      </w:r>
    </w:p>
    <w:p>
      <w:pPr>
        <w:pStyle w:val="Variante"/>
      </w:pPr>
      <w:r>
        <w:t xml:space="preserve">Variante : Mission de conseil</w:t>
      </w:r>
    </w:p>
    <w:p>
      <w:pPr>
        <w:pStyle w:val="Corps"/>
      </w:pPr>
      <w:r>
        <w:t xml:space="preserve">L'Avocat analyse les faits et documents remis, effectue les recherches utiles, expose les options juridiques et remet les consultations ou livrables suivants : [Livrables attendus]. Sauf extension écrite, cette mission n'inclut ni représentation contentieuse, ni négociation conduite au nom du Client, ni formalité d'exécution.</w:t>
      </w:r>
    </w:p>
    <w:p>
      <w:pPr>
        <w:pStyle w:val="Variante"/>
      </w:pPr>
      <w:r>
        <w:t xml:space="preserve">Variante : Mission précontentieuse</w:t>
      </w:r>
    </w:p>
    <w:p>
      <w:pPr>
        <w:pStyle w:val="Corps"/>
      </w:pPr>
      <w:r>
        <w:t xml:space="preserve">L'Avocat prépare la stratégie amiable, analyse les prétentions, rédige les correspondances ou mises en demeure et conduit les échanges précontentieux compris dans [Diligences incluses]. L'introduction d'une instance, un recours, une mesure d'exécution ou une transaction définitive exige une instruction et, si nécessaire, une extension écrite.</w:t>
      </w:r>
    </w:p>
    <w:p>
      <w:pPr>
        <w:pStyle w:val="Variante"/>
      </w:pPr>
      <w:r>
        <w:t xml:space="preserve">Variante : Mission contentieuse</w:t>
      </w:r>
    </w:p>
    <w:p>
      <w:pPr>
        <w:pStyle w:val="Corps"/>
      </w:pPr>
      <w:r>
        <w:t xml:space="preserve">L'Avocat assiste ou représente le Client dans la procédure identifiée devant [Juridiction ou autorité], pour les actes et étapes énumérés dans [Diligences incluses]. Une procédure incidente, une expertise distincte, une voie de recours ou l'exécution de la décision n'est comprise que si elle est expressément mentionnée.</w:t>
      </w:r>
    </w:p>
    <w:p>
      <w:pPr>
        <w:pStyle w:val="Variante"/>
      </w:pPr>
      <w:r>
        <w:t xml:space="preserve">Variante : Mission de conseil, négociation et contentieux</w:t>
      </w:r>
    </w:p>
    <w:p>
      <w:pPr>
        <w:pStyle w:val="Corps"/>
      </w:pPr>
      <w:r>
        <w:t xml:space="preserve">La mission combine analyse, négociation et procédure dans les limites suivantes : [Diligences incluses]. Chaque changement de phase est signalé au Client avec ses incidences prévisibles sur le calendrier, le budget et les diligences ; les prestations exclues restent celles décrites ci-après.</w:t>
      </w:r>
    </w:p>
    <w:p>
      <w:pPr>
        <w:pStyle w:val="Intertitre"/>
      </w:pPr>
      <w:r>
        <w:t xml:space="preserve">Diligences incluses</w:t>
      </w:r>
    </w:p>
    <w:p>
      <w:pPr>
        <w:pStyle w:val="Corps"/>
      </w:pPr>
      <w:r>
        <w:t xml:space="preserve">Sont comprises dans la mission les diligences suivantes : [Diligences incluses]. Elles comprennent exclusivement les recherches, réunions, échanges, rédactions, négociations, audiences et formalités explicitement visés, dans la mesure nécessaire à l'objectif convenu.</w:t>
      </w:r>
    </w:p>
    <w:p>
      <w:pPr>
        <w:pStyle w:val="Intertitre"/>
      </w:pPr>
      <w:r>
        <w:t xml:space="preserve">Prestations exclues</w:t>
      </w:r>
    </w:p>
    <w:p>
      <w:pPr>
        <w:pStyle w:val="Corps"/>
      </w:pPr>
      <w:r>
        <w:t xml:space="preserve">Sont exclues du périmètre initial : [Diligences exclues]. L'Avocat n'engage pas ces travaux sur le seul fondement d'une urgence alléguée ou d'un échange informel ; il informe le Client de leur nécessité et recueille une instruction traçable, sauf mesure conservatoire indispensable à la sauvegarde immédiate de ses intérêts.</w:t>
      </w:r>
    </w:p>
    <w:p>
      <w:pPr>
        <w:pStyle w:val="Intertitre"/>
      </w:pPr>
      <w:r>
        <w:t xml:space="preserve">Livrables et échéances</w:t>
      </w:r>
    </w:p>
    <w:p>
      <w:pPr>
        <w:pStyle w:val="Corps"/>
      </w:pPr>
      <w:r>
        <w:t xml:space="preserve">Les livrables attendus sont [Livrables attendus]. La mission débute le [Date de début de mission] et les échéances actuellement identifiées sont [Échéances connues]. Les délais dépendant du Client, d'une juridiction, d'un expert ou d'un tiers restent ajustés à leurs actes et aux événements effectivement constatés.</w:t>
      </w:r>
    </w:p>
    <w:p>
      <w:pPr>
        <w:pStyle w:val="Intertitre"/>
      </w:pPr>
      <w:r>
        <w:t xml:space="preserve">Instructions du Client</w:t>
      </w:r>
    </w:p>
    <w:p>
      <w:pPr>
        <w:pStyle w:val="Corps"/>
      </w:pPr>
      <w:r>
        <w:t xml:space="preserve">Le Client transmet ses instructions par [Canal des instructions] et valide les choix ayant une incidence substantielle sur la stratégie, la transaction, l'introduction d'une procédure, une voie de recours ou un engagement financier important. L'Avocat peut accomplir les actes usuels nécessaires dans le cadre de la mission, sans dépasser le mandat reçu.</w:t>
      </w:r>
    </w:p>
    <w:p>
      <w:pPr>
        <w:pStyle w:val="Intertitre"/>
      </w:pPr>
      <w:r>
        <w:t xml:space="preserve">Extension ou modification de la mission</w:t>
      </w:r>
    </w:p>
    <w:p>
      <w:pPr>
        <w:pStyle w:val="Corps"/>
      </w:pPr>
      <w:r>
        <w:t xml:space="preserve">Toute demande nouvelle, procédure incidente, changement de stratégie, recours, mesure d'exécution ou intervention dans un autre dossier fait l'objet d'une description écrite de son périmètre et de son incidence prévisible sur les honoraires. Les taux convenus continuent de s'appliquer seulement si les parties le confirment pour cette extension.</w:t>
      </w:r>
    </w:p>
    <w:p>
      <w:pPr>
        <w:pStyle w:val="Intertitre"/>
      </w:pPr>
      <w:r>
        <w:t xml:space="preserve">Avocat responsable du dossier</w:t>
      </w:r>
    </w:p>
    <w:p>
      <w:pPr>
        <w:pStyle w:val="Corps"/>
      </w:pPr>
      <w:r>
        <w:t xml:space="preserve">La mission est placée sous la responsabilité de [Avocat responsable], qui organise les diligences, supervise l'équipe et demeure l'interlocuteur principal du Client. Cette responsabilité n'implique pas que chaque tâche soit matériellement réalisée par la même personne.</w:t>
      </w:r>
    </w:p>
    <w:p>
      <w:pPr>
        <w:pStyle w:val="Intertitre"/>
      </w:pPr>
      <w:r>
        <w:t xml:space="preserve">Intervention de l'équipe</w:t>
      </w:r>
    </w:p>
    <w:p>
      <w:pPr>
        <w:pStyle w:val="Corps"/>
      </w:pPr>
      <w:r>
        <w:t xml:space="preserve">Les travaux peuvent être répartis entre les intervenants suivants : [Équipe susceptible d'intervenir], selon leur compétence et la nature des tâches. Le temps facturé correspond à l'intervention utile de chacun ; une organisation interne inefficiente ou une formation sans utilité propre au dossier n'est pas transférée au Client.</w:t>
      </w:r>
    </w:p>
    <w:p>
      <w:pPr>
        <w:pStyle w:val="Intertitre"/>
      </w:pPr>
      <w:r>
        <w:t xml:space="preserve">Substitution et correspondants</w:t>
      </w:r>
    </w:p>
    <w:p>
      <w:pPr>
        <w:pStyle w:val="Corps"/>
      </w:pPr>
      <w:r>
        <w:t xml:space="preserve">En cas de nécessité, l'Avocat peut recourir à un confrère ou correspondant dans les conditions suivantes : [Modalités de substitution]. Le Client est informé lorsque cette intervention crée un coût distinct ou modifie l'organisation convenue ; les honoraires et frais du tiers sont identifiés séparément.</w:t>
      </w:r>
    </w:p>
    <w:p>
      <w:pPr>
        <w:pStyle w:val="Intertitre"/>
      </w:pPr>
      <w:r>
        <w:t xml:space="preserve">Structure des taux — choisir une seule variante</w:t>
      </w:r>
    </w:p>
    <w:p>
      <w:pPr>
        <w:pStyle w:val="Variante"/>
      </w:pPr>
      <w:r>
        <w:t xml:space="preserve">Variante : Taux horaire unique</w:t>
      </w:r>
    </w:p>
    <w:p>
      <w:pPr>
        <w:pStyle w:val="Corps"/>
      </w:pPr>
      <w:r>
        <w:t xml:space="preserve">Les diligences accomplies dans le périmètre convenu sont rémunérées au taux de [Taux horaire unique HT] hors taxes par heure. La TVA applicable et les frais ou débours ne sont pas compris dans ce taux, sauf stipulation expresse contraire.</w:t>
      </w:r>
    </w:p>
    <w:p>
      <w:pPr>
        <w:pStyle w:val="Variante"/>
      </w:pPr>
      <w:r>
        <w:t xml:space="preserve">Variante : Taux horaires selon les intervenants</w:t>
      </w:r>
    </w:p>
    <w:p>
      <w:pPr>
        <w:pStyle w:val="Corps"/>
      </w:pPr>
      <w:r>
        <w:t xml:space="preserve">Les taux des seuls intervenants susceptibles d’agir sont consignés dans la grille suivante : [Grille des intervenants et taux]. Chaque ligne identifie le rôle, l’intervenant, le taux HT, la date d’effet et les diligences concernées.</w:t>
      </w:r>
    </w:p>
    <w:p>
      <w:pPr>
        <w:pStyle w:val="Intertitre"/>
      </w:pPr>
      <w:r>
        <w:t xml:space="preserve">Unité de décompte</w:t>
      </w:r>
    </w:p>
    <w:p>
      <w:pPr>
        <w:pStyle w:val="Corps"/>
      </w:pPr>
      <w:r>
        <w:t xml:space="preserve">Le temps est enregistré par unité de [Unité minimale de facturation] selon la règle d'arrondi suivante : [Règle d'arrondi]. Plusieurs tâches distinctes ne sont pas regroupées artificiellement ; une même séquence continue peut être décrite en une ligne lorsqu'elle correspond à une diligence homogène.</w:t>
      </w:r>
    </w:p>
    <w:p>
      <w:pPr>
        <w:pStyle w:val="Intertitre"/>
      </w:pPr>
      <w:r>
        <w:t xml:space="preserve">Relevé des diligences</w:t>
      </w:r>
    </w:p>
    <w:p>
      <w:pPr>
        <w:pStyle w:val="Corps"/>
      </w:pPr>
      <w:r>
        <w:t xml:space="preserve">Le cabinet tient un relevé par dossier selon la méthode suivante : [Méthode de relevé du temps]. Chaque inscription permet d'identifier au minimum la date, l'intervenant, la nature de la tâche et le temps porté au compte, sous réserve des informations dont le détail révélerait inutilement une donnée protégée.</w:t>
      </w:r>
    </w:p>
    <w:p>
      <w:pPr>
        <w:pStyle w:val="Intertitre"/>
      </w:pPr>
      <w:r>
        <w:t xml:space="preserve">Communication des relevés</w:t>
      </w:r>
    </w:p>
    <w:p>
      <w:pPr>
        <w:pStyle w:val="Corps"/>
      </w:pPr>
      <w:r>
        <w:t xml:space="preserve">Un relevé du temps et des diligences est communiqué ou rendu accessible selon la fréquence [Fréquence du relevé de temps]. Le Client signale rapidement toute ligne qu'il ne comprend pas ; cette demande d'explication ne suspend pas les échéances des montants non contestés.</w:t>
      </w:r>
    </w:p>
    <w:p>
      <w:pPr>
        <w:pStyle w:val="Intertitre"/>
      </w:pPr>
      <w:r>
        <w:t xml:space="preserve">Évolution prospective des taux</w:t>
      </w:r>
    </w:p>
    <w:p>
      <w:pPr>
        <w:pStyle w:val="Corps"/>
      </w:pPr>
      <w:r>
        <w:t xml:space="preserve">Les taux peuvent être réexaminés à compter du [Date de révision des taux] selon [Méthode de révision des taux]. Aucune augmentation n'est rétroactive ; le Client est informé avant son application et peut mettre fin à la mission pour l'avenir, sous réserve du paiement des diligences déjà accomplies et de la sauvegarde des délais en cours.</w:t>
      </w:r>
    </w:p>
    <w:p>
      <w:pPr>
        <w:pStyle w:val="Intertitre"/>
      </w:pPr>
      <w:r>
        <w:t xml:space="preserve">Registre des diligences et temps</w:t>
      </w:r>
    </w:p>
    <w:p>
      <w:pPr>
        <w:pStyle w:val="Corps"/>
      </w:pPr>
      <w:r>
        <w:t xml:space="preserve">Chaque ligne indique date, intervenant, diligence, durée, taux, dossier et justificatif. Données : [Registre des diligences et temps].</w:t>
      </w:r>
    </w:p>
    <w:p>
      <w:pPr>
        <w:pStyle w:val="Intertitre"/>
      </w:pPr>
      <w:r>
        <w:t xml:space="preserve">Encadrement du budget — choisir une seule variante</w:t>
      </w:r>
    </w:p>
    <w:p>
      <w:pPr>
        <w:pStyle w:val="Variante"/>
      </w:pPr>
      <w:r>
        <w:t xml:space="preserve">Variante : Estimation non plafonnée</w:t>
      </w:r>
    </w:p>
    <w:p>
      <w:pPr>
        <w:pStyle w:val="Corps"/>
      </w:pPr>
      <w:r>
        <w:t xml:space="preserve">Au regard des informations disponibles, le volume est estimé à [Estimation du volume horaire] sur la base de [Hypothèses de l'estimation]. Cette estimation n'est ni un forfait ni un plafond : l'Avocat alerte le Client lorsque l'évolution du dossier rend l'écart significatif et expose les nouvelles hypothèses avant de poursuivre les travaux non urgents.</w:t>
      </w:r>
    </w:p>
    <w:p>
      <w:pPr>
        <w:pStyle w:val="Variante"/>
      </w:pPr>
      <w:r>
        <w:t xml:space="preserve">Variante : Plafond d'engagement sans nouvel accord</w:t>
      </w:r>
    </w:p>
    <w:p>
      <w:pPr>
        <w:pStyle w:val="Corps"/>
      </w:pPr>
      <w:r>
        <w:t xml:space="preserve">Les diligences sont conduites dans la limite de [Plafond budgétaire HT] HT. Avant de dépasser ce montant, l'Avocat présente les travaux accomplis, ceux restant à réaliser et une nouvelle estimation ; hors urgence nécessaire à la préservation d'un droit, les travaux supplémentaires exigent l'accord écrit du Client.</w:t>
      </w:r>
    </w:p>
    <w:p>
      <w:pPr>
        <w:pStyle w:val="Variante"/>
      </w:pPr>
      <w:r>
        <w:t xml:space="preserve">Variante : Seuil d'alerte budgétaire</w:t>
      </w:r>
    </w:p>
    <w:p>
      <w:pPr>
        <w:pStyle w:val="Corps"/>
      </w:pPr>
      <w:r>
        <w:t xml:space="preserve">Lorsque les honoraires cumulés atteignent [Seuil d'alerte HT] HT, l'Avocat informe le Client de l'état des diligences, du temps consommé et du coût prévisible de la suite. Ce seuil est une obligation d'information et ne constitue pas un forfait ni une renonciation aux honoraires correspondant au travail autorisé.</w:t>
      </w:r>
    </w:p>
    <w:p>
      <w:pPr>
        <w:pStyle w:val="Intertitre"/>
      </w:pPr>
      <w:r>
        <w:t xml:space="preserve">Suivi du coût cumulé</w:t>
      </w:r>
    </w:p>
    <w:p>
      <w:pPr>
        <w:pStyle w:val="Corps"/>
      </w:pPr>
      <w:r>
        <w:t xml:space="preserve">Le coût cumulé est présenté selon la fréquence [Fréquence du suivi budgétaire]. Le suivi distingue honoraires HT, TVA, frais, débours, provisions reçues et solde, afin que le Client puisse rapprocher le budget des travaux restant à accomplir.</w:t>
      </w:r>
    </w:p>
    <w:p>
      <w:pPr>
        <w:pStyle w:val="Intertitre"/>
      </w:pPr>
      <w:r>
        <w:t xml:space="preserve">Révision des hypothèses</w:t>
      </w:r>
    </w:p>
    <w:p>
      <w:pPr>
        <w:pStyle w:val="Corps"/>
      </w:pPr>
      <w:r>
        <w:t xml:space="preserve">Une nouvelle estimation est établie lorsque survient l'un des événements suivants : [Événements de révision]. L'Avocat décrit l'événement, son effet sur les diligences et les alternatives raisonnables ; le Client confirme la poursuite lorsque l'effet financier est substantiel.</w:t>
      </w:r>
    </w:p>
    <w:p>
      <w:pPr>
        <w:pStyle w:val="Intertitre"/>
      </w:pPr>
      <w:r>
        <w:t xml:space="preserve">Provision — choisir une seule variante</w:t>
      </w:r>
    </w:p>
    <w:p>
      <w:pPr>
        <w:pStyle w:val="Variante"/>
      </w:pPr>
      <w:r>
        <w:t xml:space="preserve">Variante : Absence de provision initiale</w:t>
      </w:r>
    </w:p>
    <w:p>
      <w:pPr>
        <w:pStyle w:val="Corps"/>
      </w:pPr>
      <w:r>
        <w:t xml:space="preserve">Aucune provision initiale n'est exigée. Les diligences effectivement accomplies restent facturables aux conditions de la convention et cette absence n'emporte ni gratuité, ni report général des échéances de paiement.</w:t>
      </w:r>
    </w:p>
    <w:p>
      <w:pPr>
        <w:pStyle w:val="Variante"/>
      </w:pPr>
      <w:r>
        <w:t xml:space="preserve">Variante : Provision initiale</w:t>
      </w:r>
    </w:p>
    <w:p>
      <w:pPr>
        <w:pStyle w:val="Corps"/>
      </w:pPr>
      <w:r>
        <w:t xml:space="preserve">Le Client verse une provision de [Provision initiale] au plus tard le [Échéance de la provision]. Elle est imputée sur les factures selon [Imputation des provisions] et ne constitue ni un forfait définitif ni une estimation du coût total de l'affaire.</w:t>
      </w:r>
    </w:p>
    <w:p>
      <w:pPr>
        <w:pStyle w:val="Variante"/>
      </w:pPr>
      <w:r>
        <w:t xml:space="preserve">Variante : Provision renouvelable</w:t>
      </w:r>
    </w:p>
    <w:p>
      <w:pPr>
        <w:pStyle w:val="Corps"/>
      </w:pPr>
      <w:r>
        <w:t xml:space="preserve">Une provision initiale de [Provision initiale] est due le [Échéance de la provision]. Lorsque son solde disponible atteint [Seuil de reconstitution], le Client verse [Montant de reconstitution] afin de couvrir raisonnablement les diligences et débours prévisibles ; chaque demande tient compte des sommes déjà reçues et facturées.</w:t>
      </w:r>
    </w:p>
    <w:p>
      <w:pPr>
        <w:pStyle w:val="Intertitre"/>
      </w:pPr>
      <w:r>
        <w:t xml:space="preserve">Clause optionnelle : Imputation et justification des provisions</w:t>
      </w:r>
    </w:p>
    <w:p>
      <w:pPr>
        <w:pStyle w:val="Corps"/>
      </w:pPr>
      <w:r>
        <w:t xml:space="preserve">Les provisions sont affectées selon [Imputation des provisions]. Chaque facture indique les sommes précédemment reçues, leur imputation et le solde disponible ; le compte définitif rapproche l'intégralité des encaissements, honoraires, frais, débours et remboursements éventuels.</w:t>
      </w:r>
    </w:p>
    <w:p>
      <w:pPr>
        <w:pStyle w:val="Intertitre"/>
      </w:pPr>
      <w:r>
        <w:t xml:space="preserve">Clause optionnelle : Défaut de provision</w:t>
      </w:r>
    </w:p>
    <w:p>
      <w:pPr>
        <w:pStyle w:val="Corps"/>
      </w:pPr>
      <w:r>
        <w:t xml:space="preserve">A défaut de règlement d'une provision raisonnablement demandée, l'Avocat peut différer les diligences non urgentes ou se retirer après information du Client, dans des conditions qui préservent ses intérêts et ses délais. Les travaux déjà accomplis et frais engagés demeurent dus.</w:t>
      </w:r>
    </w:p>
    <w:p>
      <w:pPr>
        <w:pStyle w:val="Intertitre"/>
      </w:pPr>
      <w:r>
        <w:t xml:space="preserve">Table de suivi des provisions</w:t>
      </w:r>
    </w:p>
    <w:p>
      <w:pPr>
        <w:pStyle w:val="Corps"/>
      </w:pPr>
      <w:r>
        <w:t xml:space="preserve">Chaque ligne indique appel, encaissement, imputation, restitution et justificatif. Données : [Table de suivi des provisions].</w:t>
      </w:r>
    </w:p>
    <w:p>
      <w:pPr>
        <w:pStyle w:val="Intertitre"/>
      </w:pPr>
      <w:r>
        <w:t xml:space="preserve">TVA — choisir une seule variante</w:t>
      </w:r>
    </w:p>
    <w:p>
      <w:pPr>
        <w:pStyle w:val="Variante"/>
      </w:pPr>
      <w:r>
        <w:t xml:space="preserve">Variante : Taxe sur la valeur ajoutée</w:t>
      </w:r>
    </w:p>
    <w:p>
      <w:pPr>
        <w:pStyle w:val="Corps"/>
      </w:pPr>
      <w:r>
        <w:t xml:space="preserve">Les honoraires et postes imposables sont majorés de la TVA au taux de [Taux de TVA] applicable à la date de facturation. Toute modification légale du taux est répercutée prospectivement sur les opérations concernées et apparaît distinctement sur la facture.</w:t>
      </w:r>
    </w:p>
    <w:p>
      <w:pPr>
        <w:pStyle w:val="Variante"/>
      </w:pPr>
      <w:r>
        <w:t xml:space="preserve">Variante : TVA non appliquée</w:t>
      </w:r>
    </w:p>
    <w:p>
      <w:pPr>
        <w:pStyle w:val="Corps"/>
      </w:pPr>
      <w:r>
        <w:t xml:space="preserve">La TVA n'est pas appliquée pour le motif suivant : [Motif de non-application de TVA]. Cette mention est utilisée uniquement après vérification du régime fiscal de la structure facturante et peut être adaptée si ce régime change.</w:t>
      </w:r>
    </w:p>
    <w:p>
      <w:pPr>
        <w:pStyle w:val="Intertitre"/>
      </w:pPr>
      <w:r>
        <w:t xml:space="preserve">Frais du cabinet — choisir une seule variante</w:t>
      </w:r>
    </w:p>
    <w:p>
      <w:pPr>
        <w:pStyle w:val="Variante"/>
      </w:pPr>
      <w:r>
        <w:t xml:space="preserve">Variante : Frais facturés séparément</w:t>
      </w:r>
    </w:p>
    <w:p>
      <w:pPr>
        <w:pStyle w:val="Corps"/>
      </w:pPr>
      <w:r>
        <w:t xml:space="preserve">Les frais suivants sont facturés au coût réel justifié ou selon le barème expressément décrit : [Frais facturés au réel]. Tout engagement unitaire supérieur à [Seuil d'accord préalable pour frais] requiert l'accord préalable du Client, sauf urgence ou dépense procédurale incompressible dont il est informé dès que possible.</w:t>
      </w:r>
    </w:p>
    <w:p>
      <w:pPr>
        <w:pStyle w:val="Variante"/>
      </w:pPr>
      <w:r>
        <w:t xml:space="preserve">Variante : Frais mineurs inclus</w:t>
      </w:r>
    </w:p>
    <w:p>
      <w:pPr>
        <w:pStyle w:val="Corps"/>
      </w:pPr>
      <w:r>
        <w:t xml:space="preserve">Les frais administratifs suivants sont inclus dans les taux horaires : [Frais mineurs inclus]. Les débours, émoluments, déplacements, expertises et prestations de tiers ne sont pas inclus sauf mention expresse et restent identifiés séparément.</w:t>
      </w:r>
    </w:p>
    <w:p>
      <w:pPr>
        <w:pStyle w:val="Intertitre"/>
      </w:pPr>
      <w:r>
        <w:t xml:space="preserve">Débours et émoluments</w:t>
      </w:r>
    </w:p>
    <w:p>
      <w:pPr>
        <w:pStyle w:val="Corps"/>
      </w:pPr>
      <w:r>
        <w:t xml:space="preserve">Les débours et émoluments prévisibles sont : [Débours prévisibles]. Ils sont avancés ou appelés auprès du Client selon les besoins, puis justifiés dans le compte détaillé ; leur montant peut dépendre d'un tarif, d'une décision ou de la facture du tiers concerné.</w:t>
      </w:r>
    </w:p>
    <w:p>
      <w:pPr>
        <w:pStyle w:val="Intertitre"/>
      </w:pPr>
      <w:r>
        <w:t xml:space="preserve">Temps de déplacement — choisir une seule variante</w:t>
      </w:r>
    </w:p>
    <w:p>
      <w:pPr>
        <w:pStyle w:val="Variante"/>
      </w:pPr>
      <w:r>
        <w:t xml:space="preserve">Variante : Temps de déplacement au taux normal</w:t>
      </w:r>
    </w:p>
    <w:p>
      <w:pPr>
        <w:pStyle w:val="Corps"/>
      </w:pPr>
      <w:r>
        <w:t xml:space="preserve">Le temps de déplacement nécessaire à la mission est facturé au taux horaire applicable à l'intervenant. Les frais matériels de transport, d'hébergement et de repas sont traités séparément selon [Remboursement des déplacements].</w:t>
      </w:r>
    </w:p>
    <w:p>
      <w:pPr>
        <w:pStyle w:val="Variante"/>
      </w:pPr>
      <w:r>
        <w:t xml:space="preserve">Variante : Temps de déplacement à taux réduit</w:t>
      </w:r>
    </w:p>
    <w:p>
      <w:pPr>
        <w:pStyle w:val="Corps"/>
      </w:pPr>
      <w:r>
        <w:t xml:space="preserve">Le temps de déplacement est facturé au taux spécifique de [Taux du temps de déplacement HT] HT par heure. Les frais matériels de transport, d'hébergement et de repas sont traités séparément selon [Remboursement des déplacements].</w:t>
      </w:r>
    </w:p>
    <w:p>
      <w:pPr>
        <w:pStyle w:val="Variante"/>
      </w:pPr>
      <w:r>
        <w:t xml:space="preserve">Variante : Temps de déplacement non facturé</w:t>
      </w:r>
    </w:p>
    <w:p>
      <w:pPr>
        <w:pStyle w:val="Corps"/>
      </w:pPr>
      <w:r>
        <w:t xml:space="preserve">Le temps de déplacement n'est pas porté au relevé d'honoraires. Les frais matériels nécessaires restent remboursés selon [Remboursement des déplacements], sous réserve des justificatifs et accords prévus par la convention.</w:t>
      </w:r>
    </w:p>
    <w:p>
      <w:pPr>
        <w:pStyle w:val="Intertitre"/>
      </w:pPr>
      <w:r>
        <w:t xml:space="preserve">Clause optionnelle : Temps d'attente</w:t>
      </w:r>
    </w:p>
    <w:p>
      <w:pPr>
        <w:pStyle w:val="Corps"/>
      </w:pPr>
      <w:r>
        <w:t xml:space="preserve">Le temps d'attente imposé par une audience, une expertise, une réunion ou un déplacement est facturé au taux de [Taux du temps d'attente HT] HT par heure, lorsqu'il ne peut raisonnablement être consacré à un autre dossier. Le relevé en précise la cause et la durée.</w:t>
      </w:r>
    </w:p>
    <w:p>
      <w:pPr>
        <w:pStyle w:val="Intertitre"/>
      </w:pPr>
      <w:r>
        <w:t xml:space="preserve">Clause optionnelle : Prestataires et professionnels tiers</w:t>
      </w:r>
    </w:p>
    <w:p>
      <w:pPr>
        <w:pStyle w:val="Corps"/>
      </w:pPr>
      <w:r>
        <w:t xml:space="preserve">Les coûts susceptibles d'être facturés directement au Client ou avancés pour son compte concernent : [Coûts des tiers]. L'Avocat distingue ses propres honoraires de ceux du tiers et sollicite un devis ou un accord préalable lorsque le coût est significatif et prévisible.</w:t>
      </w:r>
    </w:p>
    <w:p>
      <w:pPr>
        <w:pStyle w:val="Intertitre"/>
      </w:pPr>
      <w:r>
        <w:t xml:space="preserve">Facturation — choisir une seule variante</w:t>
      </w:r>
    </w:p>
    <w:p>
      <w:pPr>
        <w:pStyle w:val="Variante"/>
      </w:pPr>
      <w:r>
        <w:t xml:space="preserve">Variante : Facturation mensuelle</w:t>
      </w:r>
    </w:p>
    <w:p>
      <w:pPr>
        <w:pStyle w:val="Corps"/>
      </w:pPr>
      <w:r>
        <w:t xml:space="preserve">Les factures sont émises selon la périodicité suivante : [Périodicité de facturation], avec le relevé des diligences correspondant. Elles retracent les honoraires, TVA, frais, débours, provisions imputées et solde à payer.</w:t>
      </w:r>
    </w:p>
    <w:p>
      <w:pPr>
        <w:pStyle w:val="Variante"/>
      </w:pPr>
      <w:r>
        <w:t xml:space="preserve">Variante : Facturation par jalons</w:t>
      </w:r>
    </w:p>
    <w:p>
      <w:pPr>
        <w:pStyle w:val="Corps"/>
      </w:pPr>
      <w:r>
        <w:t xml:space="preserve">Les factures sont émises lors des jalons suivants : [Jalons de facturation]. Chaque facture comprend les diligences enregistrées jusqu'au jalon, sans transformer celui-ci en forfait si le temps effectivement consacré reste le mode de rémunération convenu.</w:t>
      </w:r>
    </w:p>
    <w:p>
      <w:pPr>
        <w:pStyle w:val="Variante"/>
      </w:pPr>
      <w:r>
        <w:t xml:space="preserve">Variante : Facturation périodique convenue</w:t>
      </w:r>
    </w:p>
    <w:p>
      <w:pPr>
        <w:pStyle w:val="Corps"/>
      </w:pPr>
      <w:r>
        <w:t xml:space="preserve">Les factures sont émises selon [Périodicité de facturation]. La périodicité organise l'appel des sommes mais ne modifie ni les taux, ni le relevé du temps, ni le droit du Client à une information régulière sur le coût cumulé.</w:t>
      </w:r>
    </w:p>
    <w:p>
      <w:pPr>
        <w:pStyle w:val="Intertitre"/>
      </w:pPr>
      <w:r>
        <w:t xml:space="preserve">Contenu des factures</w:t>
      </w:r>
    </w:p>
    <w:p>
      <w:pPr>
        <w:pStyle w:val="Corps"/>
      </w:pPr>
      <w:r>
        <w:t xml:space="preserve">Chaque facture est adressée à [Destinataire des factures] et distingue les diligences facturées, le temps, le taux, les honoraires HT, la TVA, les frais, débours, émoluments et provisions imputées. Les détails nécessaires à la compréhension sont fournis sans divulgation excessive d'informations protégées.</w:t>
      </w:r>
    </w:p>
    <w:p>
      <w:pPr>
        <w:pStyle w:val="Intertitre"/>
      </w:pPr>
      <w:r>
        <w:t xml:space="preserve">Paiement des factures</w:t>
      </w:r>
    </w:p>
    <w:p>
      <w:pPr>
        <w:pStyle w:val="Corps"/>
      </w:pPr>
      <w:r>
        <w:t xml:space="preserve">Les factures sont payables dans un délai de [Délai de paiement] par [Mode de paiement]. Le Client règle à l'échéance les montants non contestés et adresse toute demande d'explication en identifiant la facture et les diligences concernées.</w:t>
      </w:r>
    </w:p>
    <w:p>
      <w:pPr>
        <w:pStyle w:val="Intertitre"/>
      </w:pPr>
      <w:r>
        <w:t xml:space="preserve">Clause optionnelle : Retard de paiement d'un Client professionnel</w:t>
      </w:r>
    </w:p>
    <w:p>
      <w:pPr>
        <w:pStyle w:val="Corps"/>
      </w:pPr>
      <w:r>
        <w:t xml:space="preserve">Lorsque le Client agit à titre professionnel, tout retard entraîne, à compter du jour suivant l'échéance et sans rappel nécessaire, les pénalités au taux de [Taux des pénalités B2B] ainsi que l'indemnité forfaitaire de recouvrement de [Indemnité forfaitaire de recouvrement], sous réserve du régime impératif en vigueur et des cas où ces sommes ne peuvent être réclamées.</w:t>
      </w:r>
    </w:p>
    <w:p>
      <w:pPr>
        <w:pStyle w:val="Intertitre"/>
      </w:pPr>
      <w:r>
        <w:t xml:space="preserve">Clause optionnelle : Retard de paiement d'un Client consommateur</w:t>
      </w:r>
    </w:p>
    <w:p>
      <w:pPr>
        <w:pStyle w:val="Corps"/>
      </w:pPr>
      <w:r>
        <w:t xml:space="preserve">Lorsque le Client agit comme consommateur, les conséquences d'un retard sont limitées à [Conséquences d'un retard consommateur] et aux voies de recouvrement légalement ouvertes. Les pénalités et l'indemnité forfaitaire propres aux transactions entre professionnels ne lui sont pas appliquées.</w:t>
      </w:r>
    </w:p>
    <w:p>
      <w:pPr>
        <w:pStyle w:val="Intertitre"/>
      </w:pPr>
      <w:r>
        <w:t xml:space="preserve">Compte détaillé de fin de mission</w:t>
      </w:r>
    </w:p>
    <w:p>
      <w:pPr>
        <w:pStyle w:val="Corps"/>
      </w:pPr>
      <w:r>
        <w:t xml:space="preserve">Avant le règlement définitif, le cabinet remet un compte distinguant frais, débours, émoluments et honoraires, et mentionnant les provisions ou autres sommes déjà reçues. Ce compte permet de déterminer le solde dû ou à restituer sans effacer le droit de demander les explications utiles.</w:t>
      </w:r>
    </w:p>
    <w:p>
      <w:pPr>
        <w:pStyle w:val="Intertitre"/>
      </w:pPr>
      <w:r>
        <w:t xml:space="preserve">Table de calcul des factures</w:t>
      </w:r>
    </w:p>
    <w:p>
      <w:pPr>
        <w:pStyle w:val="Corps"/>
      </w:pPr>
      <w:r>
        <w:t xml:space="preserve">Chaque ligne relie diligence, temps, taux, honoraires, TVA, frais, provision et solde. Données : [Table de calcul des factures].</w:t>
      </w:r>
    </w:p>
    <w:p>
      <w:pPr>
        <w:pStyle w:val="Intertitre"/>
      </w:pPr>
      <w:r>
        <w:t xml:space="preserve">Financement — choisir une seule variante</w:t>
      </w:r>
    </w:p>
    <w:p>
      <w:pPr>
        <w:pStyle w:val="Variante"/>
      </w:pPr>
      <w:r>
        <w:t xml:space="preserve">Variante : Paiement direct par le Client</w:t>
      </w:r>
    </w:p>
    <w:p>
      <w:pPr>
        <w:pStyle w:val="Corps"/>
      </w:pPr>
      <w:r>
        <w:t xml:space="preserve">Le Client demeure le débiteur des honoraires, frais et débours selon la convention et procède directement à leur règlement. Une condamnation éventuelle de l'adversaire aux dépens ou à une somme au titre des frais de justice ne se substitue pas automatiquement à son obligation envers le cabinet.</w:t>
      </w:r>
    </w:p>
    <w:p>
      <w:pPr>
        <w:pStyle w:val="Variante"/>
      </w:pPr>
      <w:r>
        <w:t xml:space="preserve">Variante : Paiement par un tiers autorisé</w:t>
      </w:r>
    </w:p>
    <w:p>
      <w:pPr>
        <w:pStyle w:val="Corps"/>
      </w:pPr>
      <w:r>
        <w:t xml:space="preserve">Le tiers payeur [Tiers payeur] intervient dans la limite suivante : [Périmètre du paiement par tiers]. Son paiement est reçu pour le compte du Client après contrôle du mandat et des exigences applicables ; sauf accord exprès contraire licite, le Client reste tenu du solde non pris en charge.</w:t>
      </w:r>
    </w:p>
    <w:p>
      <w:pPr>
        <w:pStyle w:val="Variante"/>
      </w:pPr>
      <w:r>
        <w:t xml:space="preserve">Variante : Protection juridique</w:t>
      </w:r>
    </w:p>
    <w:p>
      <w:pPr>
        <w:pStyle w:val="Corps"/>
      </w:pPr>
      <w:r>
        <w:t xml:space="preserve">La demande de prise en charge est suivie auprès de [Assureur de protection juridique] sous [Référence de protection juridique] pour la couverture annoncée suivante : [Plafond et prestations couvertes]. Le libre choix de l'Avocat et la relation directe avec le Client sont préservés ; une demande ou un plafond annoncé ne vaut pas paiement tant que la garantie n'est pas confirmée.</w:t>
      </w:r>
    </w:p>
    <w:p>
      <w:pPr>
        <w:pStyle w:val="Variante"/>
      </w:pPr>
      <w:r>
        <w:t xml:space="preserve">Variante : Aide juridictionnelle partielle</w:t>
      </w:r>
    </w:p>
    <w:p>
      <w:pPr>
        <w:pStyle w:val="Corps"/>
      </w:pPr>
      <w:r>
        <w:t xml:space="preserve">Le Client bénéficie d'une décision d'aide juridictionnelle partielle référencée [Décision d'aide juridictionnelle] au taux de [Taux d'aide juridictionnelle]. Le complément d'honoraires est défini comme suit : [Complément en aide partielle]. La convention rappelle la contribution de l'État, les voies de contestation et est communiquée au bâtonnier dans le délai et selon les modalités applicables.</w:t>
      </w:r>
    </w:p>
    <w:p>
      <w:pPr>
        <w:pStyle w:val="Variante"/>
      </w:pPr>
      <w:r>
        <w:t xml:space="preserve">Variante : Aide juridictionnelle totale</w:t>
      </w:r>
    </w:p>
    <w:p>
      <w:pPr>
        <w:pStyle w:val="Corps"/>
      </w:pPr>
      <w:r>
        <w:t xml:space="preserve">La décision [Décision d'aide juridictionnelle] constate une prise en charge totale. Aucun honoraire complémentaire calculé au temps passé n'est mis à la charge du Client au titre de la mission couverte, sauf régime distinct expressément autorisé et préalablement vérifié.</w:t>
      </w:r>
    </w:p>
    <w:p>
      <w:pPr>
        <w:pStyle w:val="Intertitre"/>
      </w:pPr>
      <w:r>
        <w:t xml:space="preserve">Clause optionnelle : Solde non pris en charge</w:t>
      </w:r>
    </w:p>
    <w:p>
      <w:pPr>
        <w:pStyle w:val="Corps"/>
      </w:pPr>
      <w:r>
        <w:t xml:space="preserve">La prise en charge par un assureur, une aide partielle ou un tiers est imputée sur les sommes correspondantes après encaissement. Le Client reçoit un état indiquant la part couverte, la part refusée ou différée et le solde restant, sans double facturation d'une même diligence.</w:t>
      </w:r>
    </w:p>
    <w:p>
      <w:pPr>
        <w:pStyle w:val="Intertitre"/>
      </w:pPr>
      <w:r>
        <w:t xml:space="preserve">Table des financements</w:t>
      </w:r>
    </w:p>
    <w:p>
      <w:pPr>
        <w:pStyle w:val="Corps"/>
      </w:pPr>
      <w:r>
        <w:t xml:space="preserve">Chaque ligne identifie payeur, couverture, plafond, exclusions, règlement et reste dû. Données : [Table des financements].</w:t>
      </w:r>
    </w:p>
    <w:p>
      <w:pPr>
        <w:pStyle w:val="Intertitre"/>
      </w:pPr>
      <w:r>
        <w:t xml:space="preserve">Clause optionnelle : Informations dues au Client consommateur</w:t>
      </w:r>
    </w:p>
    <w:p>
      <w:pPr>
        <w:pStyle w:val="Corps"/>
      </w:pPr>
      <w:r>
        <w:t xml:space="preserve">Avant signature, le Client consommateur reçoit les caractéristiques essentielles de la mission, l'identité et les coordonnées du cabinet, le mode de calcul du prix, les délais ou étapes prévisibles et la possibilité de recourir à un médiateur. La remise est tracée à la date du [Date d'information précontractuelle].</w:t>
      </w:r>
    </w:p>
    <w:p>
      <w:pPr>
        <w:pStyle w:val="Intertitre"/>
      </w:pPr>
      <w:r>
        <w:t xml:space="preserve">Clause optionnelle : Convention conclue dans les locaux</w:t>
      </w:r>
    </w:p>
    <w:p>
      <w:pPr>
        <w:pStyle w:val="Corps"/>
      </w:pPr>
      <w:r>
        <w:t xml:space="preserve">La convention est conclue dans les locaux du cabinet, sans recours à la route de rétractation propre aux contrats conclus à distance ou hors établissement. Cette qualification est vérifiée d'après les circonstances réelles et non d'après le seul lieu indiqué à la signature.</w:t>
      </w:r>
    </w:p>
    <w:p>
      <w:pPr>
        <w:pStyle w:val="Intertitre"/>
      </w:pPr>
      <w:r>
        <w:t xml:space="preserve">Clause optionnelle : Droit de rétractation du Client consommateur</w:t>
      </w:r>
    </w:p>
    <w:p>
      <w:pPr>
        <w:pStyle w:val="Corps"/>
      </w:pPr>
      <w:r>
        <w:t xml:space="preserve">Pour la convention conclue à distance ou hors établissement le [Date de conclusion à distance], le Client consommateur dispose du délai légal de [Délai légal de rétractation en jours] jours, dont l’échéance calculée et contrôlée est le [Fin du délai de rétractation]. Il peut notifier sa décision à [Destinataire de la rétractation] au moyen du formulaire [Formulaire de rétractation] ou de toute déclaration non ambiguë.</w:t>
      </w:r>
    </w:p>
    <w:p>
      <w:pPr>
        <w:pStyle w:val="Intertitre"/>
      </w:pPr>
      <w:r>
        <w:t xml:space="preserve">Clause optionnelle : Demande expresse d'exécution avant la fin du délai</w:t>
      </w:r>
    </w:p>
    <w:p>
      <w:pPr>
        <w:pStyle w:val="Corps"/>
      </w:pPr>
      <w:r>
        <w:t xml:space="preserve">Le Client demande expressément, le [Date de demande d'exécution anticipée], que la prestation commence avant l'expiration du délai de rétractation et reconnaît qu'après exécution complète il perdra ce droit dans les conditions légales. En cas de rétractation après commencement régulier, il règle la part proportionnée du service fourni jusqu'à sa décision.</w:t>
      </w:r>
    </w:p>
    <w:p>
      <w:pPr>
        <w:pStyle w:val="Intertitre"/>
      </w:pPr>
      <w:r>
        <w:t xml:space="preserve">Clause optionnelle : Formulaire de rétractation</w:t>
      </w:r>
    </w:p>
    <w:p>
      <w:pPr>
        <w:pStyle w:val="Corps"/>
      </w:pPr>
      <w:r>
        <w:t xml:space="preserve">Le formulaire référencé [Formulaire de rétractation] est remis sur support durable avec les informations permettant de l'adresser à [Destinataire de la rétractation]. Sa remise et son accessibilité sont conservées avec la preuve de conclusion de la convention.</w:t>
      </w:r>
    </w:p>
    <w:p>
      <w:pPr>
        <w:pStyle w:val="Intertitre"/>
      </w:pPr>
      <w:r>
        <w:t xml:space="preserve">Clause optionnelle : Médiation de la consommation</w:t>
      </w:r>
    </w:p>
    <w:p>
      <w:pPr>
        <w:pStyle w:val="Corps"/>
      </w:pPr>
      <w:r>
        <w:t xml:space="preserve">Après une réclamation écrite préalable demeurée sans solution, le Client consommateur peut saisir gratuitement [Médiateur de la consommation], à [Coordonnées du médiateur], selon les informations disponibles sur [Site du médiateur]. Cette faculté n'impose pas une médiation obligatoire ; la saisine du bâtonnier au titre de la contestation des honoraires est susceptible de rendre la médiation irrecevable selon le dispositif applicable.</w:t>
      </w:r>
    </w:p>
    <w:p>
      <w:pPr>
        <w:pStyle w:val="Intertitre"/>
      </w:pPr>
      <w:r>
        <w:t xml:space="preserve">Coopération du Client</w:t>
      </w:r>
    </w:p>
    <w:p>
      <w:pPr>
        <w:pStyle w:val="Corps"/>
      </w:pPr>
      <w:r>
        <w:t xml:space="preserve">Le Client fournit des informations exactes, complètes et actualisées, remet les pièces utiles et répond aux demandes de validation selon [Obligations de coopération du Client]. Il signale immédiatement toute échéance, notification, changement de fait ou instruction susceptible d'affecter la stratégie ou le calendrier.</w:t>
      </w:r>
    </w:p>
    <w:p>
      <w:pPr>
        <w:pStyle w:val="Intertitre"/>
      </w:pPr>
      <w:r>
        <w:t xml:space="preserve">Indépendance et conflits d'intérêts</w:t>
      </w:r>
    </w:p>
    <w:p>
      <w:pPr>
        <w:pStyle w:val="Corps"/>
      </w:pPr>
      <w:r>
        <w:t xml:space="preserve">L'Avocat conserve son indépendance dans le conseil et vérifie les conflits à partir notamment des parties identifiées : [Parties adverses ou concernées]. Le Client informe le cabinet de toute personne nouvellement concernée ; si un conflit empêche la poursuite de la mission, l'Avocat organise son retrait en protégeant les intérêts immédiats du Client.</w:t>
      </w:r>
    </w:p>
    <w:p>
      <w:pPr>
        <w:pStyle w:val="Intertitre"/>
      </w:pPr>
      <w:r>
        <w:t xml:space="preserve">Secret professionnel et confidentialité</w:t>
      </w:r>
    </w:p>
    <w:p>
      <w:pPr>
        <w:pStyle w:val="Corps"/>
      </w:pPr>
      <w:r>
        <w:t xml:space="preserve">Les informations confiées et les échanges liés à la mission sont traités dans le périmètre suivant : [Périmètre de confidentialité]. Le Client autorise seulement les communications nécessaires aux personnes, juridictions, experts, correspondants ou prestataires légitimement impliqués, sous réserve des règles professionnelles applicables.</w:t>
      </w:r>
    </w:p>
    <w:p>
      <w:pPr>
        <w:pStyle w:val="Intertitre"/>
      </w:pPr>
      <w:r>
        <w:t xml:space="preserve">Données à caractère personnel</w:t>
      </w:r>
    </w:p>
    <w:p>
      <w:pPr>
        <w:pStyle w:val="Corps"/>
      </w:pPr>
      <w:r>
        <w:t xml:space="preserve">[Responsable du traitement] traite les données nécessaires aux finalités suivantes : [Finalités des traitements]. Elles sont conservées selon [Durées de conservation] et les demandes relatives aux droits sont adressées à [Contact données personnelles]. Les informations détaillées figurent, le cas échéant, dans la notice remise au Client.</w:t>
      </w:r>
    </w:p>
    <w:p>
      <w:pPr>
        <w:pStyle w:val="Intertitre"/>
      </w:pPr>
      <w:r>
        <w:t xml:space="preserve">Conservation des pièces et échanges</w:t>
      </w:r>
    </w:p>
    <w:p>
      <w:pPr>
        <w:pStyle w:val="Corps"/>
      </w:pPr>
      <w:r>
        <w:t xml:space="preserve">Le Client conserve les originaux dont il reste détenteur et informe le cabinet de toute altération ou perte. Le cabinet organise ses dossiers selon [Archivage du dossier], sans que l'archivage dispense le Client de conserver les actes, décisions, preuves et données nécessaires à ses propres obligations.</w:t>
      </w:r>
    </w:p>
    <w:p>
      <w:pPr>
        <w:pStyle w:val="Intertitre"/>
      </w:pPr>
      <w:r>
        <w:t xml:space="preserve">Fin de mission à l'initiative du Client</w:t>
      </w:r>
    </w:p>
    <w:p>
      <w:pPr>
        <w:pStyle w:val="Corps"/>
      </w:pPr>
      <w:r>
        <w:t xml:space="preserve">Le Client peut mettre fin à la mission par [Notification de fin de mission]. Il règle les diligences utilement accomplies, les frais et débours engagés jusqu'à la prise d'effet, et donne les instructions nécessaires pour la restitution, le transfert du dossier et la sauvegarde des échéances.</w:t>
      </w:r>
    </w:p>
    <w:p>
      <w:pPr>
        <w:pStyle w:val="Intertitre"/>
      </w:pPr>
      <w:r>
        <w:t xml:space="preserve">Retrait de l'Avocat</w:t>
      </w:r>
    </w:p>
    <w:p>
      <w:pPr>
        <w:pStyle w:val="Corps"/>
      </w:pPr>
      <w:r>
        <w:t xml:space="preserve">L'Avocat peut cesser son intervention dans le respect de ses obligations professionnelles, notamment en cas de défaut de provision ou de paiement, rupture de confiance, instruction illicite ou conflit. Il en informe le Client en temps utile, précise les échéances connues et prend les mesures raisonnables pour ne pas compromettre ses intérêts.</w:t>
      </w:r>
    </w:p>
    <w:p>
      <w:pPr>
        <w:pStyle w:val="Intertitre"/>
      </w:pPr>
      <w:r>
        <w:t xml:space="preserve">Honoraires dus lors de l'interruption</w:t>
      </w:r>
    </w:p>
    <w:p>
      <w:pPr>
        <w:pStyle w:val="Corps"/>
      </w:pPr>
      <w:r>
        <w:t xml:space="preserve">La fin anticipée ne transforme pas les honoraires en forfait. Le cabinet établit le relevé du temps accompli, applique les taux convenus, justifie les frais et débours et impute les provisions ; seules les diligences réalisées jusqu'à la fin effective et les engagements déjà autorisés sont portés au compte.</w:t>
      </w:r>
    </w:p>
    <w:p>
      <w:pPr>
        <w:pStyle w:val="Intertitre"/>
      </w:pPr>
      <w:r>
        <w:t xml:space="preserve">Restitution et transmission du dossier</w:t>
      </w:r>
    </w:p>
    <w:p>
      <w:pPr>
        <w:pStyle w:val="Corps"/>
      </w:pPr>
      <w:r>
        <w:t xml:space="preserve">Les pièces et travaux sont restitués ou transmis selon [Restitution du dossier]. Le cabinet coopère avec le nouveau conseil lorsque le Client le désigne, sous réserve du secret, de l'identification du destinataire et des règles professionnelles ; les échéances urgentes sont clairement signalées.</w:t>
      </w:r>
    </w:p>
    <w:p>
      <w:pPr>
        <w:pStyle w:val="Intertitre"/>
      </w:pPr>
      <w:r>
        <w:t xml:space="preserve">Contestation des honoraires et débours</w:t>
      </w:r>
    </w:p>
    <w:p>
      <w:pPr>
        <w:pStyle w:val="Corps"/>
      </w:pPr>
      <w:r>
        <w:t xml:space="preserve">Toute contestation portant sur le montant ou le recouvrement des honoraires ou débours relève de la procédure spéciale devant le bâtonnier du Barreau de [Barreau compétent pour la contestation], saisi à [Adresse de saisine du bâtonnier] selon les formes en vigueur. La décision et les voies de recours obéissent aux textes applicables ; les parties peuvent d'abord rechercher une explication ou un accord sans renoncer à leurs droits.</w:t>
      </w:r>
    </w:p>
    <w:p>
      <w:pPr>
        <w:pStyle w:val="Intertitre"/>
      </w:pPr>
      <w:r>
        <w:t xml:space="preserve">Exécution de bonne foi et stipulation inapplicable</w:t>
      </w:r>
    </w:p>
    <w:p>
      <w:pPr>
        <w:pStyle w:val="Corps"/>
      </w:pPr>
      <w:r>
        <w:t xml:space="preserve">Les parties exécutent la convention de bonne foi. Si une stipulation devient inapplicable, les autres dispositions demeurent en vigueur dans la mesure où l'économie de la convention est préservée ; la stipulation concernée est remplacée ou écartée sans créer un honoraire, un frais ou un pouvoir non accepté.</w:t>
      </w:r>
    </w:p>
    <w:p>
      <w:pPr>
        <w:pStyle w:val="Intertitre"/>
      </w:pPr>
      <w:r>
        <w:t xml:space="preserve">Écrit et signature électroniques</w:t>
      </w:r>
    </w:p>
    <w:p>
      <w:pPr>
        <w:pStyle w:val="Corps"/>
      </w:pPr>
      <w:r>
        <w:t xml:space="preserve">La convention peut être établie, transmise, conservée et signée électroniquement dès lors que l'identité des signataires et l'intégrité de l'acte sont assurées. Chaque partie reçoit ou peut conserver un exemplaire durable correspondant au texte accepté.</w:t>
      </w:r>
    </w:p>
    <w:p>
      <w:pPr>
        <w:pStyle w:val="Intertitre"/>
      </w:pPr>
      <w:r>
        <w:t xml:space="preserve">Documents remis avec la convention</w:t>
      </w:r>
    </w:p>
    <w:p>
      <w:pPr>
        <w:pStyle w:val="Corps"/>
      </w:pPr>
      <w:r>
        <w:t xml:space="preserve">Sont annexés ou remis au Client : [Liste des annexes]. La liste comprend, selon les routes retenues, le périmètre détaillé, les taux, l'estimation, les frais, le formulaire de rétractation, les informations de médiation et les justificatifs de financement.</w:t>
      </w:r>
    </w:p>
    <w:p>
      <w:pPr>
        <w:pStyle w:val="Intertitre"/>
      </w:pPr>
      <w:r>
        <w:t xml:space="preserve">Signature de l'Avocat</w:t>
      </w:r>
    </w:p>
    <w:p>
      <w:pPr>
        <w:pStyle w:val="Corps"/>
      </w:pPr>
      <w:r>
        <w:t xml:space="preserve">Fait à [Lieu de signature], le [Date de signature]. Pour le cabinet, [Signataire pour le cabinet] signe après vérification de l'identité du Client, du périmètre de mission, des taux, du budget, des frais, du financement et des informations applicables.</w:t>
      </w:r>
    </w:p>
    <w:p>
      <w:pPr>
        <w:pStyle w:val="Intertitre"/>
      </w:pPr>
      <w:r>
        <w:t xml:space="preserve">Signature du Client</w:t>
      </w:r>
    </w:p>
    <w:p>
      <w:pPr>
        <w:pStyle w:val="Corps"/>
      </w:pPr>
      <w:r>
        <w:t xml:space="preserve">Le Client, par [Signataire pour le Client], accepte la mission, le calcul au temps passé, les taux, l'unité de décompte, le budget, les provisions, frais, modalités de paiement et voies de contestation décrits dans la convention. Il reconnaît avoir pu demander les explications nécessaires avant de signer.</w:t>
      </w:r>
    </w:p>
    <w:p>
      <w:pPr>
        <w:pStyle w:val="Intertitre"/>
      </w:pPr>
      <w:r>
        <w:t xml:space="preserve">Clause optionnelle : Confirmation du pouvoir de signature</w:t>
      </w:r>
    </w:p>
    <w:p>
      <w:pPr>
        <w:pStyle w:val="Corps"/>
      </w:pPr>
      <w:r>
        <w:t xml:space="preserve">Le signataire [Représentant du Client] confirme agir en qualité de [Qualité du représentant] sur le fondement de [Justificatif du pouvoir] et disposer du pouvoir nécessaire pour engager le Client personne morale au titre de la mission et de son coût.</w:t>
      </w:r>
    </w:p>
    <w:p>
      <w:pPr>
        <w:pStyle w:val="Mention"/>
      </w:pPr>
      <w:r>
        <w:t xml:space="preserve">Les variantes et clauses optionnelles ci-dessus sont proposées dans LegalProd selon les réponses saisies ; les blocs non retenus sont retirés du document final.</w:t>
      </w:r>
    </w:p>
    <w:sectPr>
      <w:pgSz w:w="11906" w:h="16838"/>
      <w:pgMar w:top="1418" w:right="1418" w:bottom="1418" w:left="1418"/>
    </w:sectPr>
  </w:body>
</w:document>
</file>

<file path=word/styles.xml><?xml version="1.0" encoding="utf-8"?>
<w:styles xmlns:w="http://schemas.openxmlformats.org/wordprocessingml/2006/main">
  <w:docDefaults>
    <w:rPrDefault>
      <w:rPr>
        <w:rFonts w:ascii="Calibri" w:hAnsi="Calibri"/>
        <w:sz w:val="22"/>
      </w:rPr>
    </w:rPrDefault>
  </w:docDefaults>
  <w:style w:type="paragraph" w:styleId="Titre">
    <w:name w:val="Titre"/>
    <w:pPr>
      <w:spacing w:before="360" w:after="120" w:line="276" w:lineRule="auto"/>
      <w:jc w:val="center"/>
    </w:pPr>
    <w:rPr>
      <w:sz w:val="32"/>
      <w:b/>
    </w:rPr>
  </w:style>
  <w:style w:type="paragraph" w:styleId="Intertitre">
    <w:name w:val="Intertitre"/>
    <w:pPr>
      <w:spacing w:before="280" w:after="120" w:line="276" w:lineRule="auto"/>
      <w:jc w:val="left"/>
    </w:pPr>
    <w:rPr>
      <w:sz w:val="24"/>
      <w:b/>
    </w:rPr>
  </w:style>
  <w:style w:type="paragraph" w:styleId="Variante">
    <w:name w:val="Variante"/>
    <w:pPr>
      <w:spacing w:before="240" w:after="120" w:line="276" w:lineRule="auto"/>
      <w:jc w:val="left"/>
    </w:pPr>
    <w:rPr>
      <w:sz w:val="21"/>
      <w:b/>
    </w:rPr>
  </w:style>
  <w:style w:type="paragraph" w:styleId="Corps">
    <w:name w:val="Corps"/>
    <w:pPr>
      <w:spacing w:before="160" w:after="120" w:line="276" w:lineRule="auto"/>
      <w:jc w:val="both"/>
    </w:pPr>
    <w:rPr>
      <w:sz w:val="22"/>
    </w:rPr>
  </w:style>
  <w:style w:type="paragraph" w:styleId="Mention">
    <w:name w:val="Mention"/>
    <w:pPr>
      <w:spacing w:before="320" w:after="120" w:line="276" w:lineRule="auto"/>
      <w:jc w:val="left"/>
    </w:pPr>
    <w:rPr>
      <w:sz w:val="18"/>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