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LETTRE DE MISSION DE CONSEIL NON CONTENTIEUX</w:t>
      </w:r>
    </w:p>
    <w:p>
      <w:pPr>
        <w:pStyle w:val="Intertitre"/>
      </w:pPr>
      <w:r>
        <w:t xml:space="preserve">Identification de l'Avocat et de sa structure</w:t>
      </w:r>
    </w:p>
    <w:p>
      <w:pPr>
        <w:pStyle w:val="Corps"/>
      </w:pPr>
      <w:r>
        <w:t xml:space="preserve">La mission est confiée à [Nom de l'Avocat], Avocat inscrit au Barreau de [Barreau d'inscription] sous [Numéro professionnel], exerçant au sein de [Dénomination du cabinet], [Forme du cabinet], située [Adresse du cabinet], immatriculée sous [Immatriculation du cabinet] et identifiée à la TVA sous [Numéro de TVA du cabinet]. Le cabinet est joignable à [Courriel du cabinet] et [Téléphone du cabinet].</w:t>
      </w:r>
    </w:p>
    <w:p>
      <w:pPr>
        <w:pStyle w:val="Intertitre"/>
      </w:pPr>
      <w:r>
        <w:t xml:space="preserve">Nature du Client — choisir une seule variante</w:t>
      </w:r>
    </w:p>
    <w:p>
      <w:pPr>
        <w:pStyle w:val="Variante"/>
      </w:pPr>
      <w:r>
        <w:t xml:space="preserve">Variante : Client personne physique</w:t>
      </w:r>
    </w:p>
    <w:p>
      <w:pPr>
        <w:pStyle w:val="Corps"/>
      </w:pPr>
      <w:r>
        <w:t xml:space="preserve">Le Client est [Nom du Client], né(e) [Naissance du Client], demeurant [Adresse du Client], joignable à [Courriel du Client] et [Téléphone du Client]. Il ou elle conclut la convention pour les besoins correspondant à la qualité déclarée dans le présent acte.</w:t>
      </w:r>
    </w:p>
    <w:p>
      <w:pPr>
        <w:pStyle w:val="Variante"/>
      </w:pPr>
      <w:r>
        <w:t xml:space="preserve">Variante : Client personne morale</w:t>
      </w:r>
    </w:p>
    <w:p>
      <w:pPr>
        <w:pStyle w:val="Corps"/>
      </w:pPr>
      <w:r>
        <w:t xml:space="preserve">Le Client est [Dénomination du Client], [Forme du Client], ayant son siège [Siège du Client], immatriculé sous [Immatriculation du Client], représenté par [Représentant du Client], agissant en qualité de [Qualité du représentant].</w:t>
      </w:r>
    </w:p>
    <w:p>
      <w:pPr>
        <w:pStyle w:val="Intertitre"/>
      </w:pPr>
      <w:r>
        <w:t xml:space="preserve">Clause optionnelle : Pouvoir du représentant du Client</w:t>
      </w:r>
    </w:p>
    <w:p>
      <w:pPr>
        <w:pStyle w:val="Corps"/>
      </w:pPr>
      <w:r>
        <w:t xml:space="preserve">Le pouvoir de [Représentant du Client] d'engager le Client personne morale résulte de [Justificatif du pouvoir]. Le justificatif est contrôlé avant signature et conservé au dossier ; la seule indication d'une fonction ne dispense pas de ce contrôle lorsqu'un doute existe.</w:t>
      </w:r>
    </w:p>
    <w:p>
      <w:pPr>
        <w:pStyle w:val="Intertitre"/>
      </w:pPr>
      <w:r>
        <w:t xml:space="preserve">Coordonnées contractuelles</w:t>
      </w:r>
    </w:p>
    <w:p>
      <w:pPr>
        <w:pStyle w:val="Corps"/>
      </w:pPr>
      <w:r>
        <w:t xml:space="preserve">Les échanges relatifs à la mission sont adressés au cabinet à [Courriel du cabinet] et au Client à [Courriel du Client]. Les factures et relevés sont transmis à [Destinataire des factures]. Chaque partie signale sans délai toute modification de ses coordonnées ou du représentant habilité.</w:t>
      </w:r>
    </w:p>
    <w:p>
      <w:pPr>
        <w:pStyle w:val="Intertitre"/>
      </w:pPr>
      <w:r>
        <w:t xml:space="preserve">Nature de la lettre de mission</w:t>
      </w:r>
    </w:p>
    <w:p>
      <w:pPr>
        <w:pStyle w:val="Corps"/>
      </w:pPr>
      <w:r>
        <w:t xml:space="preserve">La présente lettre définit la mission de conseil juridique non contentieux confiée à l'Avocat, ses livrables, ses limites, son organisation et sa rémunération. Elle ne vaut ni mandat de représentation en justice, ni pouvoir de signer ou d'engager le Client auprès d'un tiers.</w:t>
      </w:r>
    </w:p>
    <w:p>
      <w:pPr>
        <w:pStyle w:val="Intertitre"/>
      </w:pPr>
      <w:r>
        <w:t xml:space="preserve">Information préalable sur la mission et son coût</w:t>
      </w:r>
    </w:p>
    <w:p>
      <w:pPr>
        <w:pStyle w:val="Corps"/>
      </w:pPr>
      <w:r>
        <w:t xml:space="preserve">Avant signature, le Client reçoit une information intelligible sur le périmètre, les diligences prévisibles, les livrables, les hypothèses, les exclusions, le calendrier, les honoraires, la TVA, les frais, les débours et les conditions d'une extension ou d'une interruption.</w:t>
      </w:r>
    </w:p>
    <w:p>
      <w:pPr>
        <w:pStyle w:val="Intertitre"/>
      </w:pPr>
      <w:r>
        <w:t xml:space="preserve">Absence de garantie de résultat</w:t>
      </w:r>
    </w:p>
    <w:p>
      <w:pPr>
        <w:pStyle w:val="Corps"/>
      </w:pPr>
      <w:r>
        <w:t xml:space="preserve">L'Avocat fournit un conseil avec compétence, diligence, indépendance et prudence à partir des informations disponibles. Il ne garantit ni la performance économique ou opérationnelle recherchée par le Client, ni l'acceptation d'un document par un tiers, ni l'absence de contestation, ni l'évolution future du droit ou des faits.</w:t>
      </w:r>
    </w:p>
    <w:p>
      <w:pPr>
        <w:pStyle w:val="Intertitre"/>
      </w:pPr>
      <w:r>
        <w:t xml:space="preserve">Absence de mission contentieuse</w:t>
      </w:r>
    </w:p>
    <w:p>
      <w:pPr>
        <w:pStyle w:val="Corps"/>
      </w:pPr>
      <w:r>
        <w:t xml:space="preserve">La mission ne comprend aucune saisine de juridiction, représentation en justice, défense à une procédure, mesure d'exécution ou acte soumis à un calendrier procédural. La naissance d'un différend ou la nécessité d'un acte contentieux impose une instruction distincte et un accord écrit sur son périmètre et son coût.</w:t>
      </w:r>
    </w:p>
    <w:p>
      <w:pPr>
        <w:pStyle w:val="Intertitre"/>
      </w:pPr>
      <w:r>
        <w:t xml:space="preserve">Profil de mission — choisir une seule variante</w:t>
      </w:r>
    </w:p>
    <w:p>
      <w:pPr>
        <w:pStyle w:val="Variante"/>
      </w:pPr>
      <w:r>
        <w:t xml:space="preserve">Variante : Conseil ponctuel</w:t>
      </w:r>
    </w:p>
    <w:p>
      <w:pPr>
        <w:pStyle w:val="Corps"/>
      </w:pPr>
      <w:r>
        <w:t xml:space="preserve">La mission porte sur une demande ponctuelle décrite par [Description de l'affaire] et s'achève par la remise ou la tenue des livrables sélectionnés. Toute question nouvelle, tout fait ultérieur ou toute demande de suivi relève d'une extension écrite.</w:t>
      </w:r>
    </w:p>
    <w:p>
      <w:pPr>
        <w:pStyle w:val="Variante"/>
      </w:pPr>
      <w:r>
        <w:t xml:space="preserve">Variante : Projet de conseil défini</w:t>
      </w:r>
    </w:p>
    <w:p>
      <w:pPr>
        <w:pStyle w:val="Corps"/>
      </w:pPr>
      <w:r>
        <w:t xml:space="preserve">La mission accompagne le projet [Description de l'affaire] pendant les phases décrites dans la lettre. Elle couvre les travaux sélectionnés jusqu'au dernier livrable convenu, sans inclure automatiquement l'exécution opérationnelle, les négociations nouvelles ou le suivi postérieur.</w:t>
      </w:r>
    </w:p>
    <w:p>
      <w:pPr>
        <w:pStyle w:val="Variante"/>
      </w:pPr>
      <w:r>
        <w:t xml:space="preserve">Variante : Conseil récurrent</w:t>
      </w:r>
    </w:p>
    <w:p>
      <w:pPr>
        <w:pStyle w:val="Corps"/>
      </w:pPr>
      <w:r>
        <w:t xml:space="preserve">La mission organise un accompagnement récurrent portant sur [Périmètre du conseil récurrent]. Chaque demande doit provenir du canal [Canal des demandes récurrentes] et rester dans les matières, entités, volumes et délais convenus.</w:t>
      </w:r>
    </w:p>
    <w:p>
      <w:pPr>
        <w:pStyle w:val="Intertitre"/>
      </w:pPr>
      <w:r>
        <w:t xml:space="preserve">Contexte communiqué</w:t>
      </w:r>
    </w:p>
    <w:p>
      <w:pPr>
        <w:pStyle w:val="Corps"/>
      </w:pPr>
      <w:r>
        <w:t xml:space="preserve">Le Client expose le contexte suivant : [Contexte de la demande]. Cette présentation permet de cadrer le conseil mais ne dispense pas d'identifier les pièces, dates, personnes et hypothèses déterminantes.</w:t>
      </w:r>
    </w:p>
    <w:p>
      <w:pPr>
        <w:pStyle w:val="Intertitre"/>
      </w:pPr>
      <w:r>
        <w:t xml:space="preserve">Objectifs du Client</w:t>
      </w:r>
    </w:p>
    <w:p>
      <w:pPr>
        <w:pStyle w:val="Corps"/>
      </w:pPr>
      <w:r>
        <w:t xml:space="preserve">Le Client recherche les objectifs suivants : [Objectifs du Client]. Ces objectifs orientent la mission sans constituer une instruction de méconnaître une règle applicable ni une garantie de résultat économique, fiscal, technique ou opérationnel.</w:t>
      </w:r>
    </w:p>
    <w:p>
      <w:pPr>
        <w:pStyle w:val="Intertitre"/>
      </w:pPr>
      <w:r>
        <w:t xml:space="preserve">Questions juridiques confiées</w:t>
      </w:r>
    </w:p>
    <w:p>
      <w:pPr>
        <w:pStyle w:val="Corps"/>
      </w:pPr>
      <w:r>
        <w:t xml:space="preserve">L'Avocat doit répondre aux questions suivantes : [Questions juridiques]. Une question absente de cette liste n'est traitée que si elle est nécessaire à la cohérence immédiate du conseil ou fait l'objet d'une extension acceptée.</w:t>
      </w:r>
    </w:p>
    <w:p>
      <w:pPr>
        <w:pStyle w:val="Intertitre"/>
      </w:pPr>
      <w:r>
        <w:t xml:space="preserve">Base factuelle et documentaire</w:t>
      </w:r>
    </w:p>
    <w:p>
      <w:pPr>
        <w:pStyle w:val="Corps"/>
      </w:pPr>
      <w:r>
        <w:t xml:space="preserve">L'analyse repose sur les documents suivants : [Documents examinés] et sur les informations attribuées au Client ou aux personnes identifiées. Les versions, dates et éventuelles traductions doivent être rapprochées du dossier avant remise du livrable final.</w:t>
      </w:r>
    </w:p>
    <w:p>
      <w:pPr>
        <w:pStyle w:val="Intertitre"/>
      </w:pPr>
      <w:r>
        <w:t xml:space="preserve">Hypothèses de travail</w:t>
      </w:r>
    </w:p>
    <w:p>
      <w:pPr>
        <w:pStyle w:val="Corps"/>
      </w:pPr>
      <w:r>
        <w:t xml:space="preserve">Le conseil est établi sous les hypothèses suivantes : [Hypothèses factuelles]. Si l'une d'elles est inexacte, incomplète ou modifiée, le Client doit en informer l'Avocat afin d'évaluer si le livrable doit être repris.</w:t>
      </w:r>
    </w:p>
    <w:p>
      <w:pPr>
        <w:pStyle w:val="Intertitre"/>
      </w:pPr>
      <w:r>
        <w:t xml:space="preserve">Vérifications non comprises</w:t>
      </w:r>
    </w:p>
    <w:p>
      <w:pPr>
        <w:pStyle w:val="Corps"/>
      </w:pPr>
      <w:r>
        <w:t xml:space="preserve">Sauf mention expresse contraire, l'Avocat ne réalise pas les vérifications suivantes : [Vérifications exclues]. Il n'audite pas l'exactitude matérielle, comptable, financière ou technique des données et signale les contrôles qui paraissent devoir être confiés à un spécialiste.</w:t>
      </w:r>
    </w:p>
    <w:p>
      <w:pPr>
        <w:pStyle w:val="Intertitre"/>
      </w:pPr>
      <w:r>
        <w:t xml:space="preserve">Registre des faits, pièces et versions</w:t>
      </w:r>
    </w:p>
    <w:p>
      <w:pPr>
        <w:pStyle w:val="Corps"/>
      </w:pPr>
      <w:r>
        <w:t xml:space="preserve">Élément | source | auteur | date | version | langue | statut | hypothèse associée. Données : [Registre des faits, pièces et versions].</w:t>
      </w:r>
    </w:p>
    <w:p>
      <w:pPr>
        <w:pStyle w:val="Intertitre"/>
      </w:pPr>
      <w:r>
        <w:t xml:space="preserve">Table des questions juridiques</w:t>
      </w:r>
    </w:p>
    <w:p>
      <w:pPr>
        <w:pStyle w:val="Corps"/>
      </w:pPr>
      <w:r>
        <w:t xml:space="preserve">Question | périmètre | priorité | source attendue | livrable | exclusion. Données : [Table des questions juridiques].</w:t>
      </w:r>
    </w:p>
    <w:p>
      <w:pPr>
        <w:pStyle w:val="Intertitre"/>
      </w:pPr>
      <w:r>
        <w:t xml:space="preserve">Étendue territoriale du conseil — choisir une seule variante</w:t>
      </w:r>
    </w:p>
    <w:p>
      <w:pPr>
        <w:pStyle w:val="Variante"/>
      </w:pPr>
      <w:r>
        <w:t xml:space="preserve">Variante : Conseil limité au droit français</w:t>
      </w:r>
    </w:p>
    <w:p>
      <w:pPr>
        <w:pStyle w:val="Corps"/>
      </w:pPr>
      <w:r>
        <w:t xml:space="preserve">Le conseil est rendu au regard de [Droit applicable au conseil] dans son état à la date du [Date d'arrêté de l'analyse]. Il ne porte pas sur l'effet d'un droit étranger, sauf identification d'une question devant être confirmée par un conseil habilité.</w:t>
      </w:r>
    </w:p>
    <w:p>
      <w:pPr>
        <w:pStyle w:val="Variante"/>
      </w:pPr>
      <w:r>
        <w:t xml:space="preserve">Variante : Conseil comportant une dimension internationale</w:t>
      </w:r>
    </w:p>
    <w:p>
      <w:pPr>
        <w:pStyle w:val="Corps"/>
      </w:pPr>
      <w:r>
        <w:t xml:space="preserve">L'Avocat traite le droit [Droit applicable au conseil] à la date du [Date d'arrêté de l'analyse] et identifie les questions étrangères suivantes : [Questions de droit étranger]. Aucune conclusion de droit étranger n'est présentée comme confirmée sans l'avis du professionnel compétent.</w:t>
      </w:r>
    </w:p>
    <w:p>
      <w:pPr>
        <w:pStyle w:val="Intertitre"/>
      </w:pPr>
      <w:r>
        <w:t xml:space="preserve">Clause optionnelle : Coordination avec un conseil étranger</w:t>
      </w:r>
    </w:p>
    <w:p>
      <w:pPr>
        <w:pStyle w:val="Corps"/>
      </w:pPr>
      <w:r>
        <w:t xml:space="preserve">Le conseil [Conseil étranger ou local] intervient sur [Périmètre du conseil étranger]. L'Avocat coordonne les questions et rapproche les réponses, sans se substituer à l'analyse du droit étranger ni garantir les délais ou honoraires du professionnel tiers.</w:t>
      </w:r>
    </w:p>
    <w:p>
      <w:pPr>
        <w:pStyle w:val="Intertitre"/>
      </w:pPr>
      <w:r>
        <w:t xml:space="preserve">Clause optionnelle : Table des questions de droit étranger</w:t>
      </w:r>
    </w:p>
    <w:p>
      <w:pPr>
        <w:pStyle w:val="Corps"/>
      </w:pPr>
      <w:r>
        <w:t xml:space="preserve">Question | juridiction | conseil compétent | avis | date | réserve | statut. Données : [Table des questions de droit étranger].</w:t>
      </w:r>
    </w:p>
    <w:p>
      <w:pPr>
        <w:pStyle w:val="Intertitre"/>
      </w:pPr>
      <w:r>
        <w:t xml:space="preserve">Clause optionnelle : Consultation orale</w:t>
      </w:r>
    </w:p>
    <w:p>
      <w:pPr>
        <w:pStyle w:val="Corps"/>
      </w:pPr>
      <w:r>
        <w:t xml:space="preserve">L'Avocat tient la consultation suivante : [Consultation orale]. Les échanges oraux répondent aux questions préparées ; seule une synthèse expressément prévue et identifiée comme finale constitue un livrable écrit de la mission.</w:t>
      </w:r>
    </w:p>
    <w:p>
      <w:pPr>
        <w:pStyle w:val="Intertitre"/>
      </w:pPr>
      <w:r>
        <w:t xml:space="preserve">Clause optionnelle : Avis juridique écrit</w:t>
      </w:r>
    </w:p>
    <w:p>
      <w:pPr>
        <w:pStyle w:val="Corps"/>
      </w:pPr>
      <w:r>
        <w:t xml:space="preserve">L'Avocat remet un avis portant sur [Avis écrit]. L'avis expose le périmètre, les faits retenus, les hypothèses, les sources pertinentes, l'analyse, les risques et les réserves nécessaires à son utilisation.</w:t>
      </w:r>
    </w:p>
    <w:p>
      <w:pPr>
        <w:pStyle w:val="Intertitre"/>
      </w:pPr>
      <w:r>
        <w:t xml:space="preserve">Clause optionnelle : Rédaction de documents</w:t>
      </w:r>
    </w:p>
    <w:p>
      <w:pPr>
        <w:pStyle w:val="Corps"/>
      </w:pPr>
      <w:r>
        <w:t xml:space="preserve">L'Avocat prépare les documents suivants : [Documents à rédiger]. La rédaction traduit les instructions et choix validés par le Client ; elle n'emporte ni signature, ni dépôt, ni accomplissement d'une formalité non expressément confiée.</w:t>
      </w:r>
    </w:p>
    <w:p>
      <w:pPr>
        <w:pStyle w:val="Intertitre"/>
      </w:pPr>
      <w:r>
        <w:t xml:space="preserve">Clause optionnelle : Revue de documents</w:t>
      </w:r>
    </w:p>
    <w:p>
      <w:pPr>
        <w:pStyle w:val="Corps"/>
      </w:pPr>
      <w:r>
        <w:t xml:space="preserve">L'Avocat examine [Documents à revoir] selon [Méthode de revue]. Les commentaires sont limités aux sujets juridiques et au niveau de revue convenus ; les versions modifiées après la revue doivent être soumises de nouveau si leur effet doit être confirmé.</w:t>
      </w:r>
    </w:p>
    <w:p>
      <w:pPr>
        <w:pStyle w:val="Intertitre"/>
      </w:pPr>
      <w:r>
        <w:t xml:space="preserve">Clause optionnelle : Assistance à la négociation</w:t>
      </w:r>
    </w:p>
    <w:p>
      <w:pPr>
        <w:pStyle w:val="Corps"/>
      </w:pPr>
      <w:r>
        <w:t xml:space="preserve">L'Avocat assiste les échanges avec [Interlocuteurs de négociation] dans le respect de [Paramètres de négociation]. Il analyse ou formule des propositions sans accepter une obligation, une renonciation ou un accord pour le Client au-delà du pouvoir expressément défini.</w:t>
      </w:r>
    </w:p>
    <w:p>
      <w:pPr>
        <w:pStyle w:val="Intertitre"/>
      </w:pPr>
      <w:r>
        <w:t xml:space="preserve">Clause optionnelle : Traitement des demandes récurrentes</w:t>
      </w:r>
    </w:p>
    <w:p>
      <w:pPr>
        <w:pStyle w:val="Corps"/>
      </w:pPr>
      <w:r>
        <w:t xml:space="preserve">Pendant la période convenue, l'Avocat traite les demandes relevant de [Périmètre du conseil récurrent] reçues par [Canal des demandes récurrentes]. Il confirme pour chaque demande son rattachement au périmètre et les informations nécessaires avant de commencer.</w:t>
      </w:r>
    </w:p>
    <w:p>
      <w:pPr>
        <w:pStyle w:val="Intertitre"/>
      </w:pPr>
      <w:r>
        <w:t xml:space="preserve">Table des livrables</w:t>
      </w:r>
    </w:p>
    <w:p>
      <w:pPr>
        <w:pStyle w:val="Corps"/>
      </w:pPr>
      <w:r>
        <w:t xml:space="preserve">Livrable | responsable | format | version | échéance | dépendance | statut. Données : [Table des livrables].</w:t>
      </w:r>
    </w:p>
    <w:p>
      <w:pPr>
        <w:pStyle w:val="Intertitre"/>
      </w:pPr>
      <w:r>
        <w:t xml:space="preserve">Format des livrables</w:t>
      </w:r>
    </w:p>
    <w:p>
      <w:pPr>
        <w:pStyle w:val="Corps"/>
      </w:pPr>
      <w:r>
        <w:t xml:space="preserve">Les livrables sont établis selon [Format des livrables] et remis par [Mode de remise]. Toute version transmise à un autre destinataire, dans une autre langue ou sous une autre forme doit être identifiée et validée.</w:t>
      </w:r>
    </w:p>
    <w:p>
      <w:pPr>
        <w:pStyle w:val="Intertitre"/>
      </w:pPr>
      <w:r>
        <w:t xml:space="preserve">Brouillons et version finale</w:t>
      </w:r>
    </w:p>
    <w:p>
      <w:pPr>
        <w:pStyle w:val="Corps"/>
      </w:pPr>
      <w:r>
        <w:t xml:space="preserve">Les versions sont qualifiées selon [Statut des versions de travail]. Un brouillon est destiné aux échanges et ne doit pas être signé, diffusé ou utilisé comme avis final ; seule la version expressément identifiée comme finale clôt le livrable concerné.</w:t>
      </w:r>
    </w:p>
    <w:p>
      <w:pPr>
        <w:pStyle w:val="Intertitre"/>
      </w:pPr>
      <w:r>
        <w:t xml:space="preserve">Calendrier de remise</w:t>
      </w:r>
    </w:p>
    <w:p>
      <w:pPr>
        <w:pStyle w:val="Corps"/>
      </w:pPr>
      <w:r>
        <w:t xml:space="preserve">Le calendrier est le suivant : [Calendrier des livrables]. Il est établi en tenant compte de [Dépendances à la charge du Client] et peut être ajusté si une information, une validation, un accès ou l'intervention d'un tiers n'est pas disponible à la date convenue.</w:t>
      </w:r>
    </w:p>
    <w:p>
      <w:pPr>
        <w:pStyle w:val="Intertitre"/>
      </w:pPr>
      <w:r>
        <w:t xml:space="preserve">Validation par le Client</w:t>
      </w:r>
    </w:p>
    <w:p>
      <w:pPr>
        <w:pStyle w:val="Corps"/>
      </w:pPr>
      <w:r>
        <w:t xml:space="preserve">Les hypothèses, choix et livrables sont validés selon [Processus de validation] dans un délai de [Délai de validation du Client]. L'Avocat peut suspendre l'étape dépendante d'une validation manquante après en avoir signalé l'incidence.</w:t>
      </w:r>
    </w:p>
    <w:p>
      <w:pPr>
        <w:pStyle w:val="Intertitre"/>
      </w:pPr>
      <w:r>
        <w:t xml:space="preserve">Absence d'acceptation automatique du fond</w:t>
      </w:r>
    </w:p>
    <w:p>
      <w:pPr>
        <w:pStyle w:val="Corps"/>
      </w:pPr>
      <w:r>
        <w:t xml:space="preserve">L'absence de commentaire dans le délai prévu ne transforme pas un brouillon en avis final et ne vaut pas approbation d'une hypothèse sensible, d'un pouvoir, d'une clause ou d'une décision réservée au Client. Les effets purement calendaires sont indiqués séparément.</w:t>
      </w:r>
    </w:p>
    <w:p>
      <w:pPr>
        <w:pStyle w:val="Intertitre"/>
      </w:pPr>
      <w:r>
        <w:t xml:space="preserve">Table des validations</w:t>
      </w:r>
    </w:p>
    <w:p>
      <w:pPr>
        <w:pStyle w:val="Corps"/>
      </w:pPr>
      <w:r>
        <w:t xml:space="preserve">Élément | validateur habilité | date limite | décision | preuve | conséquence. Données : [Table des validations].</w:t>
      </w:r>
    </w:p>
    <w:p>
      <w:pPr>
        <w:pStyle w:val="Intertitre"/>
      </w:pPr>
      <w:r>
        <w:t xml:space="preserve">Clause optionnelle : Registre des demandes récurrentes</w:t>
      </w:r>
    </w:p>
    <w:p>
      <w:pPr>
        <w:pStyle w:val="Corps"/>
      </w:pPr>
      <w:r>
        <w:t xml:space="preserve">Demande | auteur | date | rattachement | volume | délai | statut. Données : [Registre des demandes récurrentes].</w:t>
      </w:r>
    </w:p>
    <w:p>
      <w:pPr>
        <w:pStyle w:val="Intertitre"/>
      </w:pPr>
      <w:r>
        <w:t xml:space="preserve">État du droit et des faits</w:t>
      </w:r>
    </w:p>
    <w:p>
      <w:pPr>
        <w:pStyle w:val="Corps"/>
      </w:pPr>
      <w:r>
        <w:t xml:space="preserve">L'analyse prend en compte le droit [Droit applicable au conseil] et les informations disponibles au [Date d'arrêté de l'analyse]. Un texte, une décision, une pratique, une position administrative ou un fait postérieur n'est pas automatiquement intégré.</w:t>
      </w:r>
    </w:p>
    <w:p>
      <w:pPr>
        <w:pStyle w:val="Intertitre"/>
      </w:pPr>
      <w:r>
        <w:t xml:space="preserve">Mise à jour du conseil — choisir une seule variante</w:t>
      </w:r>
    </w:p>
    <w:p>
      <w:pPr>
        <w:pStyle w:val="Variante"/>
      </w:pPr>
      <w:r>
        <w:t xml:space="preserve">Variante : Absence de mise à jour continue</w:t>
      </w:r>
    </w:p>
    <w:p>
      <w:pPr>
        <w:pStyle w:val="Corps"/>
      </w:pPr>
      <w:r>
        <w:t xml:space="preserve">Après remise du livrable final, l'Avocat n'est pas chargé d'une veille ni d'une mise à jour continue. Le Client sollicite une nouvelle analyse avant de se fier au livrable pour une opération, une date ou des faits différents.</w:t>
      </w:r>
    </w:p>
    <w:p>
      <w:pPr>
        <w:pStyle w:val="Variante"/>
      </w:pPr>
      <w:r>
        <w:t xml:space="preserve">Variante : Mission de veille juridique</w:t>
      </w:r>
    </w:p>
    <w:p>
      <w:pPr>
        <w:pStyle w:val="Corps"/>
      </w:pPr>
      <w:r>
        <w:t xml:space="preserve">L'Avocat assure la veille définie par [Périmètre de veille] selon une fréquence de [Fréquence de veille]. Les alertes sont adressées aux destinataires autorisés ; ce dispositif ne couvre pas les faits internes au Client ni les sources étrangères ou sectorielles exclues.</w:t>
      </w:r>
    </w:p>
    <w:p>
      <w:pPr>
        <w:pStyle w:val="Intertitre"/>
      </w:pPr>
      <w:r>
        <w:t xml:space="preserve">Utilisateurs autorisés — choisir une seule variante</w:t>
      </w:r>
    </w:p>
    <w:p>
      <w:pPr>
        <w:pStyle w:val="Variante"/>
      </w:pPr>
      <w:r>
        <w:t xml:space="preserve">Variante : Utilisation réservée au Client</w:t>
      </w:r>
    </w:p>
    <w:p>
      <w:pPr>
        <w:pStyle w:val="Corps"/>
      </w:pPr>
      <w:r>
        <w:t xml:space="preserve">Les livrables sont établis pour le Client et les destinataires internes autorisés suivants : [Destinataires autorisés]. Aucun tiers ne peut s'en prévaloir ni les utiliser pour une autre décision sans accord exprès de l'Avocat.</w:t>
      </w:r>
    </w:p>
    <w:p>
      <w:pPr>
        <w:pStyle w:val="Variante"/>
      </w:pPr>
      <w:r>
        <w:t xml:space="preserve">Variante : Conseil rendu à plusieurs Clients</w:t>
      </w:r>
    </w:p>
    <w:p>
      <w:pPr>
        <w:pStyle w:val="Corps"/>
      </w:pPr>
      <w:r>
        <w:t xml:space="preserve">Les Clients signataires peuvent utiliser les livrables selon [Répartition entre Clients]. Chacun communique ses intérêts et instructions ; aucun mandat croisé, aucune identité permanente d'intérêts ni solidarité de paiement n'est présumé.</w:t>
      </w:r>
    </w:p>
    <w:p>
      <w:pPr>
        <w:pStyle w:val="Variante"/>
      </w:pPr>
      <w:r>
        <w:t xml:space="preserve">Variante : Utilisation autorisée par un tiers identifié</w:t>
      </w:r>
    </w:p>
    <w:p>
      <w:pPr>
        <w:pStyle w:val="Corps"/>
      </w:pPr>
      <w:r>
        <w:t xml:space="preserve">Le tiers [Tiers autorisé à se fier au conseil] peut utiliser le livrable uniquement pour [Objet de l'utilisation par le tiers] et sous les limites suivantes : [Limites de reliance du tiers]. Cette autorisation ne crée aucune mission supplémentaire et n'est ni cessible ni extensible.</w:t>
      </w:r>
    </w:p>
    <w:p>
      <w:pPr>
        <w:pStyle w:val="Intertitre"/>
      </w:pPr>
      <w:r>
        <w:t xml:space="preserve">Absence d'utilisation par un tiers non autorisé</w:t>
      </w:r>
    </w:p>
    <w:p>
      <w:pPr>
        <w:pStyle w:val="Corps"/>
      </w:pPr>
      <w:r>
        <w:t xml:space="preserve">La transmission matérielle d'un livrable ne suffit pas à autoriser un tiers à s'y fier. Le Client préserve les mentions de périmètre, de date et de confidentialité et sollicite l'accord de l'Avocat avant toute utilisation extérieure non prévue.</w:t>
      </w:r>
    </w:p>
    <w:p>
      <w:pPr>
        <w:pStyle w:val="Intertitre"/>
      </w:pPr>
      <w:r>
        <w:t xml:space="preserve">Table des destinataires et utilisations autorisées</w:t>
      </w:r>
    </w:p>
    <w:p>
      <w:pPr>
        <w:pStyle w:val="Corps"/>
      </w:pPr>
      <w:r>
        <w:t xml:space="preserve">Destinataire | qualité | livrable | finalité | reliance | limite | durée. Données : [Table des destinataires et utilisations autorisées].</w:t>
      </w:r>
    </w:p>
    <w:p>
      <w:pPr>
        <w:pStyle w:val="Intertitre"/>
      </w:pPr>
      <w:r>
        <w:t xml:space="preserve">Pouvoir externe — choisir une seule variante</w:t>
      </w:r>
    </w:p>
    <w:p>
      <w:pPr>
        <w:pStyle w:val="Variante"/>
      </w:pPr>
      <w:r>
        <w:t xml:space="preserve">Variante : Absence de pouvoir externe</w:t>
      </w:r>
    </w:p>
    <w:p>
      <w:pPr>
        <w:pStyle w:val="Corps"/>
      </w:pPr>
      <w:r>
        <w:t xml:space="preserve">La lettre de mission ne vaut pas mandat d'agir au nom du Client auprès d'un tiers. L'Avocat ne présente aucune offre, instruction, déclaration, acceptation ou renonciation au nom du Client.</w:t>
      </w:r>
    </w:p>
    <w:p>
      <w:pPr>
        <w:pStyle w:val="Variante"/>
      </w:pPr>
      <w:r>
        <w:t xml:space="preserve">Variante : Pouvoir limité de liaison</w:t>
      </w:r>
    </w:p>
    <w:p>
      <w:pPr>
        <w:pStyle w:val="Corps"/>
      </w:pPr>
      <w:r>
        <w:t xml:space="preserve">L'Avocat peut assurer les échanges décrits par [Pouvoir de liaison] sans engager le Client. Toute position de fond, remise d'un document final, déclaration ou décision ayant un effet juridique reste soumise à validation préalable.</w:t>
      </w:r>
    </w:p>
    <w:p>
      <w:pPr>
        <w:pStyle w:val="Variante"/>
      </w:pPr>
      <w:r>
        <w:t xml:space="preserve">Variante : Pouvoir limité de négociation</w:t>
      </w:r>
    </w:p>
    <w:p>
      <w:pPr>
        <w:pStyle w:val="Corps"/>
      </w:pPr>
      <w:r>
        <w:t xml:space="preserve">L'Avocat peut négocier dans les limites suivantes : [Pouvoir de négociation] et selon [Paramètres de négociation]. Il ne peut conclure, signer, transiger, renoncer à un droit ou accepter une obligation sans instruction expresse et pouvoir spécial.</w:t>
      </w:r>
    </w:p>
    <w:p>
      <w:pPr>
        <w:pStyle w:val="Intertitre"/>
      </w:pPr>
      <w:r>
        <w:t xml:space="preserve">Décisions réservées au Client</w:t>
      </w:r>
    </w:p>
    <w:p>
      <w:pPr>
        <w:pStyle w:val="Corps"/>
      </w:pPr>
      <w:r>
        <w:t xml:space="preserve">Restent réservées au Client : [Décisions réservées au Client]. Une validation doit être donnée par une personne habilitée et conservée avant que l'Avocat communique la décision au tiers concerné.</w:t>
      </w:r>
    </w:p>
    <w:p>
      <w:pPr>
        <w:pStyle w:val="Intertitre"/>
      </w:pPr>
      <w:r>
        <w:t xml:space="preserve">Absence de pouvoir de signature ou de maniement de fonds</w:t>
      </w:r>
    </w:p>
    <w:p>
      <w:pPr>
        <w:pStyle w:val="Corps"/>
      </w:pPr>
      <w:r>
        <w:t xml:space="preserve">La mission ne confère aucun pouvoir de signer un acte, de donner un ordre de paiement, de recevoir ou affecter des fonds, de consentir une sûreté ou de disposer d'un droit du Client. Un tel acte exige un mandat distinct, précis et vérifié.</w:t>
      </w:r>
    </w:p>
    <w:p>
      <w:pPr>
        <w:pStyle w:val="Intertitre"/>
      </w:pPr>
      <w:r>
        <w:t xml:space="preserve">Table des pouvoirs et décisions réservées</w:t>
      </w:r>
    </w:p>
    <w:p>
      <w:pPr>
        <w:pStyle w:val="Corps"/>
      </w:pPr>
      <w:r>
        <w:t xml:space="preserve">Acte | personne habilitée | pouvoir | limite | validation | preuve | interdiction. Données : [Table des pouvoirs et décisions réservées].</w:t>
      </w:r>
    </w:p>
    <w:p>
      <w:pPr>
        <w:pStyle w:val="Intertitre"/>
      </w:pPr>
      <w:r>
        <w:t xml:space="preserve">Instructions et validations</w:t>
      </w:r>
    </w:p>
    <w:p>
      <w:pPr>
        <w:pStyle w:val="Corps"/>
      </w:pPr>
      <w:r>
        <w:t xml:space="preserve">Les instructions proviennent des personnes habilitées et sont conservées avec le dossier. En cas d'ambiguïté, de contradiction ou d'incidence substantielle, l'Avocat demande une confirmation écrite avant d'agir et signale les délais affectés.</w:t>
      </w:r>
    </w:p>
    <w:p>
      <w:pPr>
        <w:pStyle w:val="Intertitre"/>
      </w:pPr>
      <w:r>
        <w:t xml:space="preserve">Modification du périmètre</w:t>
      </w:r>
    </w:p>
    <w:p>
      <w:pPr>
        <w:pStyle w:val="Corps"/>
      </w:pPr>
      <w:r>
        <w:t xml:space="preserve">Toute question, entité, opération, langue, juridiction, négociation, formalité ou livrable non compris fait l'objet d'un accord écrit décrivant son incidence sur les honoraires, les intervenants et le calendrier.</w:t>
      </w:r>
    </w:p>
    <w:p>
      <w:pPr>
        <w:pStyle w:val="Intertitre"/>
      </w:pPr>
      <w:r>
        <w:t xml:space="preserve">Clause optionnelle : Demandes urgentes</w:t>
      </w:r>
    </w:p>
    <w:p>
      <w:pPr>
        <w:pStyle w:val="Corps"/>
      </w:pPr>
      <w:r>
        <w:t xml:space="preserve">Une demande urgente est traitée selon [Protocole d'urgence] après confirmation de sa faisabilité, de son périmètre et des informations disponibles. L'urgence ne permet pas de présumer un fait, un pouvoir ou une validation manquante.</w:t>
      </w:r>
    </w:p>
    <w:p>
      <w:pPr>
        <w:pStyle w:val="Intertitre"/>
      </w:pPr>
      <w:r>
        <w:t xml:space="preserve">Indépendance et conflits d'intérêts</w:t>
      </w:r>
    </w:p>
    <w:p>
      <w:pPr>
        <w:pStyle w:val="Corps"/>
      </w:pPr>
      <w:r>
        <w:t xml:space="preserve">L'Avocat conserve son indépendance dans le conseil et vérifie les conflits à partir notamment des parties identifiées : [Parties adverses ou concernées]. Le Client informe le cabinet de toute personne nouvellement concernée ; si un conflit empêche la poursuite de la mission, l'Avocat organise son retrait en protégeant les intérêts immédiats du Client.</w:t>
      </w:r>
    </w:p>
    <w:p>
      <w:pPr>
        <w:pStyle w:val="Intertitre"/>
      </w:pPr>
      <w:r>
        <w:t xml:space="preserve">Secret professionnel et confidentialité</w:t>
      </w:r>
    </w:p>
    <w:p>
      <w:pPr>
        <w:pStyle w:val="Corps"/>
      </w:pPr>
      <w:r>
        <w:t xml:space="preserve">Les informations confiées et les échanges liés à la mission sont traités dans le périmètre suivant : [Périmètre de confidentialité]. Les communications nécessaires aux experts, correspondants, administrations ou interlocuteurs de négociation restent limitées par le secret professionnel et les instructions compatibles avec celui-ci.</w:t>
      </w:r>
    </w:p>
    <w:p>
      <w:pPr>
        <w:pStyle w:val="Intertitre"/>
      </w:pPr>
      <w:r>
        <w:t xml:space="preserve">Données à caractère personnel</w:t>
      </w:r>
    </w:p>
    <w:p>
      <w:pPr>
        <w:pStyle w:val="Corps"/>
      </w:pPr>
      <w:r>
        <w:t xml:space="preserve">[Responsable du traitement] traite les données nécessaires aux finalités suivantes : [Finalités des traitements]. Elles sont conservées selon [Durées de conservation] et les demandes relatives aux droits sont adressées à [Contact données personnelles]. Les informations détaillées figurent, le cas échéant, dans la notice remise au Client.</w:t>
      </w:r>
    </w:p>
    <w:p>
      <w:pPr>
        <w:pStyle w:val="Intertitre"/>
      </w:pPr>
      <w:r>
        <w:t xml:space="preserve">Conservation des pièces et échanges</w:t>
      </w:r>
    </w:p>
    <w:p>
      <w:pPr>
        <w:pStyle w:val="Corps"/>
      </w:pPr>
      <w:r>
        <w:t xml:space="preserve">Le Client conserve les originaux dont il reste détenteur et informe le cabinet de toute altération ou perte. Le cabinet organise ses dossiers selon [Archivage du dossier], sans que l'archivage dispense le Client de conserver les actes, décisions, preuves et données nécessaires à ses propres obligations.</w:t>
      </w:r>
    </w:p>
    <w:p>
      <w:pPr>
        <w:pStyle w:val="Intertitre"/>
      </w:pPr>
      <w:r>
        <w:t xml:space="preserve">Avocat responsable du dossier</w:t>
      </w:r>
    </w:p>
    <w:p>
      <w:pPr>
        <w:pStyle w:val="Corps"/>
      </w:pPr>
      <w:r>
        <w:t xml:space="preserve">La mission est placée sous la responsabilité de [Avocat responsable], qui organise les diligences, supervise l'équipe et demeure l'interlocuteur principal du Client. Cette responsabilité n'implique pas que chaque tâche soit matériellement réalisée par la même personne.</w:t>
      </w:r>
    </w:p>
    <w:p>
      <w:pPr>
        <w:pStyle w:val="Intertitre"/>
      </w:pPr>
      <w:r>
        <w:t xml:space="preserve">Intervention de l'équipe</w:t>
      </w:r>
    </w:p>
    <w:p>
      <w:pPr>
        <w:pStyle w:val="Corps"/>
      </w:pPr>
      <w:r>
        <w:t xml:space="preserve">Les travaux peuvent être répartis entre les intervenants suivants : [Équipe susceptible d'intervenir], selon leur compétence et la nature des tâches. Leur intervention reste placée sous la supervision de l'Avocat responsable et n'étend ni le périmètre, ni les honoraires, ni les destinataires autorisés sans accord applicable.</w:t>
      </w:r>
    </w:p>
    <w:p>
      <w:pPr>
        <w:pStyle w:val="Intertitre"/>
      </w:pPr>
      <w:r>
        <w:t xml:space="preserve">Correspondants et spécialistes</w:t>
      </w:r>
    </w:p>
    <w:p>
      <w:pPr>
        <w:pStyle w:val="Corps"/>
      </w:pPr>
      <w:r>
        <w:t xml:space="preserve">L'Avocat peut organiser l'intervention de correspondants ou spécialistes selon [Modalités de substitution], après avoir précisé leur rôle, leur indépendance, leur rémunération, les échanges autorisés et la responsabilité de leurs propres travaux.</w:t>
      </w:r>
    </w:p>
    <w:p>
      <w:pPr>
        <w:pStyle w:val="Intertitre"/>
      </w:pPr>
      <w:r>
        <w:t xml:space="preserve">Clause optionnelle : Expertise fiscale ou comptable distincte</w:t>
      </w:r>
    </w:p>
    <w:p>
      <w:pPr>
        <w:pStyle w:val="Corps"/>
      </w:pPr>
      <w:r>
        <w:t xml:space="preserve">Les questions suivantes sont soumises à un spécialiste : [Intervention fiscale ou comptable]. L'Avocat intègre l'avis identifié dans la mesure nécessaire, sans certifier les données, calculs ou déclarations relevant du professionnel concerné.</w:t>
      </w:r>
    </w:p>
    <w:p>
      <w:pPr>
        <w:pStyle w:val="Intertitre"/>
      </w:pPr>
      <w:r>
        <w:t xml:space="preserve">Clause optionnelle : Expertise technique distincte</w:t>
      </w:r>
    </w:p>
    <w:p>
      <w:pPr>
        <w:pStyle w:val="Corps"/>
      </w:pPr>
      <w:r>
        <w:t xml:space="preserve">Les vérifications suivantes sont confiées à un expert : [Intervention technique]. Le conseil juridique distingue les hypothèses, les conclusions techniques reçues et les conséquences juridiques qui en sont tirées.</w:t>
      </w:r>
    </w:p>
    <w:p>
      <w:pPr>
        <w:pStyle w:val="Intertitre"/>
      </w:pPr>
      <w:r>
        <w:t xml:space="preserve">Table des intervenants</w:t>
      </w:r>
    </w:p>
    <w:p>
      <w:pPr>
        <w:pStyle w:val="Corps"/>
      </w:pPr>
      <w:r>
        <w:t xml:space="preserve">Intervenant | rôle | compétence | périmètre | supervision | coût distinct | accès. Données : [Table des intervenants].</w:t>
      </w:r>
    </w:p>
    <w:p>
      <w:pPr>
        <w:pStyle w:val="Intertitre"/>
      </w:pPr>
      <w:r>
        <w:t xml:space="preserve">Mode de rémunération — choisir une seule variante</w:t>
      </w:r>
    </w:p>
    <w:p>
      <w:pPr>
        <w:pStyle w:val="Variante"/>
      </w:pPr>
      <w:r>
        <w:t xml:space="preserve">Variante : Honoraire fixe</w:t>
      </w:r>
    </w:p>
    <w:p>
      <w:pPr>
        <w:pStyle w:val="Corps"/>
      </w:pPr>
      <w:r>
        <w:t xml:space="preserve">La mission définie est rémunérée par un honoraire de [Honoraire fixe HT] HT, soit [Honoraire fixe TTC] TTC lorsque la TVA est applicable. Le prix couvre seulement [Périmètre rémunéré] sous les hypothèses et limites prévues.</w:t>
      </w:r>
    </w:p>
    <w:p>
      <w:pPr>
        <w:pStyle w:val="Variante"/>
      </w:pPr>
      <w:r>
        <w:t xml:space="preserve">Variante : Honoraire au temps consacré</w:t>
      </w:r>
    </w:p>
    <w:p>
      <w:pPr>
        <w:pStyle w:val="Corps"/>
      </w:pPr>
      <w:r>
        <w:t xml:space="preserve">Les diligences sont rémunérées au taux de [Taux horaire HT] HT par heure, selon l'unité [Unité minimale de facturation]. L'estimation actuelle est [Estimation au temps] ; elle n'est pas un plafond sauf accord exprès.</w:t>
      </w:r>
    </w:p>
    <w:p>
      <w:pPr>
        <w:pStyle w:val="Variante"/>
      </w:pPr>
      <w:r>
        <w:t xml:space="preserve">Variante : Honoraires par phase</w:t>
      </w:r>
    </w:p>
    <w:p>
      <w:pPr>
        <w:pStyle w:val="Corps"/>
      </w:pPr>
      <w:r>
        <w:t xml:space="preserve">Les honoraires sont répartis selon [Honoraires par phase]. Chaque phase décrit ses diligences, son livrable, son prix et son fait générateur ; le passage à une phase suivante dépend des validations prévues.</w:t>
      </w:r>
    </w:p>
    <w:p>
      <w:pPr>
        <w:pStyle w:val="Variante"/>
      </w:pPr>
      <w:r>
        <w:t xml:space="preserve">Variante : Abonnement de conseil</w:t>
      </w:r>
    </w:p>
    <w:p>
      <w:pPr>
        <w:pStyle w:val="Corps"/>
      </w:pPr>
      <w:r>
        <w:t xml:space="preserve">Le conseil récurrent est rémunéré par [Abonnement périodique HT] HT pour chaque période de [Période d'abonnement], dans les limites [Limites de l'abonnement]. Une demande hors limite fait l'objet d'un accord complémentaire.</w:t>
      </w:r>
    </w:p>
    <w:p>
      <w:pPr>
        <w:pStyle w:val="Intertitre"/>
      </w:pPr>
      <w:r>
        <w:t xml:space="preserve">Budget actuel</w:t>
      </w:r>
    </w:p>
    <w:p>
      <w:pPr>
        <w:pStyle w:val="Corps"/>
      </w:pPr>
      <w:r>
        <w:t xml:space="preserve">Le budget actuellement estimé est de [Budget estimatif] hors taxes, frais et débours, selon le mode de rémunération sélectionné. Toute évolution substantielle des hypothèses ou du périmètre fait l'objet d'une information et, si nécessaire, d'un accord préalable.</w:t>
      </w:r>
    </w:p>
    <w:p>
      <w:pPr>
        <w:pStyle w:val="Intertitre"/>
      </w:pPr>
      <w:r>
        <w:t xml:space="preserve">Prestations complémentaires</w:t>
      </w:r>
    </w:p>
    <w:p>
      <w:pPr>
        <w:pStyle w:val="Corps"/>
      </w:pPr>
      <w:r>
        <w:t xml:space="preserve">Une prestation extérieure au périmètre n'est engagée qu'après description de son objet, de son calendrier et de son prix selon [Prix des prestations complémentaires], puis acceptation par le Client, sauf mesure urgente strictement nécessaire à la sauvegarde d'un droit.</w:t>
      </w:r>
    </w:p>
    <w:p>
      <w:pPr>
        <w:pStyle w:val="Intertitre"/>
      </w:pPr>
      <w:r>
        <w:t xml:space="preserve">Table des honoraires et du budget</w:t>
      </w:r>
    </w:p>
    <w:p>
      <w:pPr>
        <w:pStyle w:val="Corps"/>
      </w:pPr>
      <w:r>
        <w:t xml:space="preserve">Poste | mode | unité ou phase | quantité | HT | TVA | TTC | budget | échéance. Données : [Table des honoraires et du budget].</w:t>
      </w:r>
    </w:p>
    <w:p>
      <w:pPr>
        <w:pStyle w:val="Intertitre"/>
      </w:pPr>
      <w:r>
        <w:t xml:space="preserve">Régime de provision — choisir une seule variante</w:t>
      </w:r>
    </w:p>
    <w:p>
      <w:pPr>
        <w:pStyle w:val="Variante"/>
      </w:pPr>
      <w:r>
        <w:t xml:space="preserve">Variante : Absence de provision initiale</w:t>
      </w:r>
    </w:p>
    <w:p>
      <w:pPr>
        <w:pStyle w:val="Corps"/>
      </w:pPr>
      <w:r>
        <w:t xml:space="preserve">Aucune provision initiale n'est exigée. Les diligences effectivement accomplies restent facturables aux conditions de la convention et cette absence n'emporte ni gratuité, ni report général des échéances de paiement.</w:t>
      </w:r>
    </w:p>
    <w:p>
      <w:pPr>
        <w:pStyle w:val="Variante"/>
      </w:pPr>
      <w:r>
        <w:t xml:space="preserve">Variante : Provision initiale</w:t>
      </w:r>
    </w:p>
    <w:p>
      <w:pPr>
        <w:pStyle w:val="Corps"/>
      </w:pPr>
      <w:r>
        <w:t xml:space="preserve">Le Client verse une provision de [Provision initiale] au plus tard le [Échéance de la provision]. Elle est imputée sur les factures selon [Imputation des provisions] et ne modifie ni le mode de rémunération, ni le budget, ni les échéances convenues.</w:t>
      </w:r>
    </w:p>
    <w:p>
      <w:pPr>
        <w:pStyle w:val="Variante"/>
      </w:pPr>
      <w:r>
        <w:t xml:space="preserve">Variante : Provision renouvelable</w:t>
      </w:r>
    </w:p>
    <w:p>
      <w:pPr>
        <w:pStyle w:val="Corps"/>
      </w:pPr>
      <w:r>
        <w:t xml:space="preserve">Une provision initiale de [Provision initiale] est due le [Échéance de la provision]. Lorsque son solde disponible atteint [Seuil de reconstitution], le Client verse [Montant de reconstitution] afin de couvrir raisonnablement les diligences et débours prévisibles ; chaque demande tient compte des sommes déjà reçues et facturées.</w:t>
      </w:r>
    </w:p>
    <w:p>
      <w:pPr>
        <w:pStyle w:val="Intertitre"/>
      </w:pPr>
      <w:r>
        <w:t xml:space="preserve">Clause optionnelle : Imputation et justification des provisions</w:t>
      </w:r>
    </w:p>
    <w:p>
      <w:pPr>
        <w:pStyle w:val="Corps"/>
      </w:pPr>
      <w:r>
        <w:t xml:space="preserve">Les provisions sont affectées selon [Imputation des provisions]. Chaque facture indique les sommes précédemment reçues, leur imputation et le solde disponible ; le compte définitif rapproche l'intégralité des encaissements, honoraires, frais, débours et remboursements éventuels.</w:t>
      </w:r>
    </w:p>
    <w:p>
      <w:pPr>
        <w:pStyle w:val="Intertitre"/>
      </w:pPr>
      <w:r>
        <w:t xml:space="preserve">Clause optionnelle : Défaut de provision</w:t>
      </w:r>
    </w:p>
    <w:p>
      <w:pPr>
        <w:pStyle w:val="Corps"/>
      </w:pPr>
      <w:r>
        <w:t xml:space="preserve">A défaut de règlement d'une provision raisonnablement demandée, l'Avocat peut différer les diligences non urgentes ou se retirer après information du Client, dans des conditions qui préservent ses intérêts et ses délais. Les travaux déjà accomplis et frais engagés demeurent dus.</w:t>
      </w:r>
    </w:p>
    <w:p>
      <w:pPr>
        <w:pStyle w:val="Intertitre"/>
      </w:pPr>
      <w:r>
        <w:t xml:space="preserve">Clause optionnelle : Table des provisions</w:t>
      </w:r>
    </w:p>
    <w:p>
      <w:pPr>
        <w:pStyle w:val="Corps"/>
      </w:pPr>
      <w:r>
        <w:t xml:space="preserve">Appel | date | montant | affectation | imputation | solde | justificatif. Données : [Table des provisions].</w:t>
      </w:r>
    </w:p>
    <w:p>
      <w:pPr>
        <w:pStyle w:val="Intertitre"/>
      </w:pPr>
      <w:r>
        <w:t xml:space="preserve">Régime de TVA — choisir une seule variante</w:t>
      </w:r>
    </w:p>
    <w:p>
      <w:pPr>
        <w:pStyle w:val="Variante"/>
      </w:pPr>
      <w:r>
        <w:t xml:space="preserve">Variante : Taxe sur la valeur ajoutée</w:t>
      </w:r>
    </w:p>
    <w:p>
      <w:pPr>
        <w:pStyle w:val="Corps"/>
      </w:pPr>
      <w:r>
        <w:t xml:space="preserve">Les honoraires et postes imposables sont majorés de la TVA au taux de [Taux de TVA] applicable à la date de facturation. Toute modification légale du taux est répercutée prospectivement sur les opérations concernées et apparaît distinctement sur la facture.</w:t>
      </w:r>
    </w:p>
    <w:p>
      <w:pPr>
        <w:pStyle w:val="Variante"/>
      </w:pPr>
      <w:r>
        <w:t xml:space="preserve">Variante : TVA non appliquée</w:t>
      </w:r>
    </w:p>
    <w:p>
      <w:pPr>
        <w:pStyle w:val="Corps"/>
      </w:pPr>
      <w:r>
        <w:t xml:space="preserve">La TVA n'est pas appliquée pour le motif suivant : [Motif de non-application de TVA]. Cette mention est utilisée uniquement après vérification du régime fiscal de la structure facturante et peut être adaptée si ce régime change.</w:t>
      </w:r>
    </w:p>
    <w:p>
      <w:pPr>
        <w:pStyle w:val="Intertitre"/>
      </w:pPr>
      <w:r>
        <w:t xml:space="preserve">Traitement des frais mineurs — choisir une seule variante</w:t>
      </w:r>
    </w:p>
    <w:p>
      <w:pPr>
        <w:pStyle w:val="Variante"/>
      </w:pPr>
      <w:r>
        <w:t xml:space="preserve">Variante : Frais facturés séparément</w:t>
      </w:r>
    </w:p>
    <w:p>
      <w:pPr>
        <w:pStyle w:val="Corps"/>
      </w:pPr>
      <w:r>
        <w:t xml:space="preserve">Les frais suivants sont facturés au coût réel justifié ou selon le barème expressément décrit : [Frais facturés au réel]. Tout engagement unitaire supérieur à [Seuil d'accord préalable pour frais] requiert l'accord préalable du Client, sauf urgence ou dépense indispensable à une échéance déjà acceptée dont il est informé dès que possible.</w:t>
      </w:r>
    </w:p>
    <w:p>
      <w:pPr>
        <w:pStyle w:val="Variante"/>
      </w:pPr>
      <w:r>
        <w:t xml:space="preserve">Variante : Frais mineurs inclus</w:t>
      </w:r>
    </w:p>
    <w:p>
      <w:pPr>
        <w:pStyle w:val="Corps"/>
      </w:pPr>
      <w:r>
        <w:t xml:space="preserve">Les frais administratifs suivants sont compris dans les honoraires : [Frais mineurs inclus]. Les débours, émoluments, déplacements, expertises et prestations de tiers ne le sont pas sauf mention expresse et restent identifiés séparément.</w:t>
      </w:r>
    </w:p>
    <w:p>
      <w:pPr>
        <w:pStyle w:val="Intertitre"/>
      </w:pPr>
      <w:r>
        <w:t xml:space="preserve">Débours et émoluments</w:t>
      </w:r>
    </w:p>
    <w:p>
      <w:pPr>
        <w:pStyle w:val="Corps"/>
      </w:pPr>
      <w:r>
        <w:t xml:space="preserve">Les débours et émoluments prévisibles sont : [Débours prévisibles]. Ils sont avancés ou appelés auprès du Client selon les besoins, puis justifiés dans le compte détaillé ; leur montant peut dépendre d'un tarif, d'une décision ou de la facture du tiers concerné.</w:t>
      </w:r>
    </w:p>
    <w:p>
      <w:pPr>
        <w:pStyle w:val="Intertitre"/>
      </w:pPr>
      <w:r>
        <w:t xml:space="preserve">Traitement des déplacements — choisir une seule variante</w:t>
      </w:r>
    </w:p>
    <w:p>
      <w:pPr>
        <w:pStyle w:val="Variante"/>
      </w:pPr>
      <w:r>
        <w:t xml:space="preserve">Variante : Déplacements compris</w:t>
      </w:r>
    </w:p>
    <w:p>
      <w:pPr>
        <w:pStyle w:val="Corps"/>
      </w:pPr>
      <w:r>
        <w:t xml:space="preserve">Les déplacements expressément décrits dans le périmètre sont compris dans les honoraires dans les limites indiquées. Tout déplacement nouveau, éloigné ou imposant des frais exceptionnels suit la procédure applicable aux prestations complémentaires.</w:t>
      </w:r>
    </w:p>
    <w:p>
      <w:pPr>
        <w:pStyle w:val="Variante"/>
      </w:pPr>
      <w:r>
        <w:t xml:space="preserve">Variante : Déplacements facturés séparément</w:t>
      </w:r>
    </w:p>
    <w:p>
      <w:pPr>
        <w:pStyle w:val="Corps"/>
      </w:pPr>
      <w:r>
        <w:t xml:space="preserve">Les déplacements sont facturés selon [Facturation des déplacements]. Au-delà de [Seuil d'accord pour déplacement], ils ne sont engagés qu'après accord du Client, sauf urgence ou déplacement nécessaire à une échéance déjà acceptée dont le Client est informé.</w:t>
      </w:r>
    </w:p>
    <w:p>
      <w:pPr>
        <w:pStyle w:val="Variante"/>
      </w:pPr>
      <w:r>
        <w:t xml:space="preserve">Variante : Absence de déplacement facturable</w:t>
      </w:r>
    </w:p>
    <w:p>
      <w:pPr>
        <w:pStyle w:val="Corps"/>
      </w:pPr>
      <w:r>
        <w:t xml:space="preserve">Aucun déplacement n'est prévu dans la mission. Si un déplacement devient nécessaire, son objet, son coût et son incidence sur le calendrier sont acceptés avant engagement, sauf mesure urgente déjà autorisée.</w:t>
      </w:r>
    </w:p>
    <w:p>
      <w:pPr>
        <w:pStyle w:val="Intertitre"/>
      </w:pPr>
      <w:r>
        <w:t xml:space="preserve">Clause optionnelle : Prestataires et professionnels tiers</w:t>
      </w:r>
    </w:p>
    <w:p>
      <w:pPr>
        <w:pStyle w:val="Corps"/>
      </w:pPr>
      <w:r>
        <w:t xml:space="preserve">Les coûts susceptibles d'être facturés directement au Client ou avancés pour son compte concernent : [Coûts des tiers]. L'Avocat distingue ses propres honoraires de ceux du tiers et sollicite un devis ou un accord préalable lorsque le coût est significatif et prévisible.</w:t>
      </w:r>
    </w:p>
    <w:p>
      <w:pPr>
        <w:pStyle w:val="Intertitre"/>
      </w:pPr>
      <w:r>
        <w:t xml:space="preserve">Table des frais, débours et tiers</w:t>
      </w:r>
    </w:p>
    <w:p>
      <w:pPr>
        <w:pStyle w:val="Corps"/>
      </w:pPr>
      <w:r>
        <w:t xml:space="preserve">Poste | inclus ou séparé | montant ou méthode | seuil | accord | justificatif. Données : [Table des frais, débours et tiers].</w:t>
      </w:r>
    </w:p>
    <w:p>
      <w:pPr>
        <w:pStyle w:val="Intertitre"/>
      </w:pPr>
      <w:r>
        <w:t xml:space="preserve">Contenu des factures</w:t>
      </w:r>
    </w:p>
    <w:p>
      <w:pPr>
        <w:pStyle w:val="Corps"/>
      </w:pPr>
      <w:r>
        <w:t xml:space="preserve">Chaque facture adressée à [Destinataire des factures] distingue le mode de rémunération, les phases ou temps concernés, les prestations complémentaires, la TVA, les frais, débours, émoluments et provisions imputées. Les références permettent de rapprocher la facture des travaux et livrables.</w:t>
      </w:r>
    </w:p>
    <w:p>
      <w:pPr>
        <w:pStyle w:val="Intertitre"/>
      </w:pPr>
      <w:r>
        <w:t xml:space="preserve">Paiement des factures</w:t>
      </w:r>
    </w:p>
    <w:p>
      <w:pPr>
        <w:pStyle w:val="Corps"/>
      </w:pPr>
      <w:r>
        <w:t xml:space="preserve">Les factures sont payables dans un délai de [Délai de paiement] par [Mode de paiement]. Le Client règle à l'échéance les montants non contestés et adresse toute demande d'explication en identifiant la facture et les diligences concernées.</w:t>
      </w:r>
    </w:p>
    <w:p>
      <w:pPr>
        <w:pStyle w:val="Intertitre"/>
      </w:pPr>
      <w:r>
        <w:t xml:space="preserve">Clause optionnelle : Retard de paiement d'un Client professionnel</w:t>
      </w:r>
    </w:p>
    <w:p>
      <w:pPr>
        <w:pStyle w:val="Corps"/>
      </w:pPr>
      <w:r>
        <w:t xml:space="preserve">Lorsque le Client agit à titre professionnel, tout retard entraîne, à compter du jour suivant l'échéance et sans rappel nécessaire, les pénalités au taux de [Taux des pénalités B2B] ainsi que l'indemnité forfaitaire de recouvrement de [Indemnité forfaitaire de recouvrement], sous réserve du régime impératif en vigueur et des cas où ces sommes ne peuvent être réclamées.</w:t>
      </w:r>
    </w:p>
    <w:p>
      <w:pPr>
        <w:pStyle w:val="Intertitre"/>
      </w:pPr>
      <w:r>
        <w:t xml:space="preserve">Clause optionnelle : Retard de paiement d'un Client consommateur</w:t>
      </w:r>
    </w:p>
    <w:p>
      <w:pPr>
        <w:pStyle w:val="Corps"/>
      </w:pPr>
      <w:r>
        <w:t xml:space="preserve">Lorsque le Client agit comme consommateur, les conséquences d'un retard sont limitées à [Conséquences d'un retard consommateur] et aux voies de recouvrement légalement ouvertes. Les pénalités et l'indemnité forfaitaire propres aux transactions entre professionnels ne lui sont pas appliquées.</w:t>
      </w:r>
    </w:p>
    <w:p>
      <w:pPr>
        <w:pStyle w:val="Intertitre"/>
      </w:pPr>
      <w:r>
        <w:t xml:space="preserve">Compte détaillé de fin de mission</w:t>
      </w:r>
    </w:p>
    <w:p>
      <w:pPr>
        <w:pStyle w:val="Corps"/>
      </w:pPr>
      <w:r>
        <w:t xml:space="preserve">Avant le règlement définitif, le cabinet remet un compte distinguant frais, débours, émoluments et honoraires, et mentionnant les provisions ou autres sommes déjà reçues. Ce compte permet de déterminer le solde dû ou à restituer sans effacer le droit de demander les explications utiles.</w:t>
      </w:r>
    </w:p>
    <w:p>
      <w:pPr>
        <w:pStyle w:val="Intertitre"/>
      </w:pPr>
      <w:r>
        <w:t xml:space="preserve">Table des factures et règlements</w:t>
      </w:r>
    </w:p>
    <w:p>
      <w:pPr>
        <w:pStyle w:val="Corps"/>
      </w:pPr>
      <w:r>
        <w:t xml:space="preserve">Facture | période ou phase | HT | TVA | TTC | provision | échéance | paiement. Données : [Table des factures et règlements].</w:t>
      </w:r>
    </w:p>
    <w:p>
      <w:pPr>
        <w:pStyle w:val="Intertitre"/>
      </w:pPr>
      <w:r>
        <w:t xml:space="preserve">Financement — choisir une seule variante</w:t>
      </w:r>
    </w:p>
    <w:p>
      <w:pPr>
        <w:pStyle w:val="Variante"/>
      </w:pPr>
      <w:r>
        <w:t xml:space="preserve">Variante : Paiement direct par le Client</w:t>
      </w:r>
    </w:p>
    <w:p>
      <w:pPr>
        <w:pStyle w:val="Corps"/>
      </w:pPr>
      <w:r>
        <w:t xml:space="preserve">Le Client demeure le débiteur des honoraires, frais et débours définis par la lettre et procède directement à leur règlement. La réception d'une subvention, d'un remboursement, d'une prise en charge ou d'un paiement lié à l'opération conseillée ne se substitue pas à son obligation envers le cabinet sauf accord exprès.</w:t>
      </w:r>
    </w:p>
    <w:p>
      <w:pPr>
        <w:pStyle w:val="Variante"/>
      </w:pPr>
      <w:r>
        <w:t xml:space="preserve">Variante : Paiement par un tiers autorisé</w:t>
      </w:r>
    </w:p>
    <w:p>
      <w:pPr>
        <w:pStyle w:val="Corps"/>
      </w:pPr>
      <w:r>
        <w:t xml:space="preserve">Le tiers payeur [Tiers payeur] intervient dans la limite suivante : [Périmètre du paiement par tiers]. Son paiement est reçu pour le compte du Client après contrôle du mandat et des exigences applicables ; sauf accord exprès contraire licite, le Client reste tenu du solde non pris en charge.</w:t>
      </w:r>
    </w:p>
    <w:p>
      <w:pPr>
        <w:pStyle w:val="Variante"/>
      </w:pPr>
      <w:r>
        <w:t xml:space="preserve">Variante : Protection juridique</w:t>
      </w:r>
    </w:p>
    <w:p>
      <w:pPr>
        <w:pStyle w:val="Corps"/>
      </w:pPr>
      <w:r>
        <w:t xml:space="preserve">La demande de prise en charge est suivie auprès de [Assureur de protection juridique] sous [Référence de protection juridique] pour la couverture annoncée suivante : [Plafond et prestations couvertes]. Le libre choix de l'Avocat et la relation directe avec le Client sont préservés ; une demande ou un plafond annoncé ne vaut pas paiement tant que la garantie n'est pas confirmée.</w:t>
      </w:r>
    </w:p>
    <w:p>
      <w:pPr>
        <w:pStyle w:val="Variante"/>
      </w:pPr>
      <w:r>
        <w:t xml:space="preserve">Variante : Aide juridictionnelle partielle</w:t>
      </w:r>
    </w:p>
    <w:p>
      <w:pPr>
        <w:pStyle w:val="Corps"/>
      </w:pPr>
      <w:r>
        <w:t xml:space="preserve">Le Client bénéficie d'une décision d'aide juridictionnelle partielle référencée [Décision d'aide juridictionnelle] au taux de [Taux d'aide juridictionnelle]. Le complément d'honoraires est défini comme suit : [Complément en aide partielle]. La convention rappelle la contribution de l'État, les voies de contestation et est communiquée au bâtonnier dans le délai et selon les modalités applicables.</w:t>
      </w:r>
    </w:p>
    <w:p>
      <w:pPr>
        <w:pStyle w:val="Variante"/>
      </w:pPr>
      <w:r>
        <w:t xml:space="preserve">Variante : Aide juridictionnelle totale</w:t>
      </w:r>
    </w:p>
    <w:p>
      <w:pPr>
        <w:pStyle w:val="Corps"/>
      </w:pPr>
      <w:r>
        <w:t xml:space="preserve">La décision [Décision d'aide juridictionnelle] constate une prise en charge totale. Aucun honoraire n'est mis à la charge du Client pour la mission couverte, sauf régime distinct expressément autorisé et préalablement vérifié.</w:t>
      </w:r>
    </w:p>
    <w:p>
      <w:pPr>
        <w:pStyle w:val="Intertitre"/>
      </w:pPr>
      <w:r>
        <w:t xml:space="preserve">Clause optionnelle : Solde non pris en charge</w:t>
      </w:r>
    </w:p>
    <w:p>
      <w:pPr>
        <w:pStyle w:val="Corps"/>
      </w:pPr>
      <w:r>
        <w:t xml:space="preserve">La prise en charge par un assureur, une aide partielle ou un tiers est imputée sur les sommes correspondantes après encaissement. Le Client reçoit un état indiquant la part couverte, la part refusée ou différée et le solde restant, sans double facturation d'une même diligence.</w:t>
      </w:r>
    </w:p>
    <w:p>
      <w:pPr>
        <w:pStyle w:val="Intertitre"/>
      </w:pPr>
      <w:r>
        <w:t xml:space="preserve">Table de financement et reste à charge</w:t>
      </w:r>
    </w:p>
    <w:p>
      <w:pPr>
        <w:pStyle w:val="Corps"/>
      </w:pPr>
      <w:r>
        <w:t xml:space="preserve">Financeur | périmètre | montant annoncé | montant encaissé | imputation | reste Client. Données : [Table de financement et reste à charge].</w:t>
      </w:r>
    </w:p>
    <w:p>
      <w:pPr>
        <w:pStyle w:val="Intertitre"/>
      </w:pPr>
      <w:r>
        <w:t xml:space="preserve">Clause optionnelle : Informations dues au Client consommateur</w:t>
      </w:r>
    </w:p>
    <w:p>
      <w:pPr>
        <w:pStyle w:val="Corps"/>
      </w:pPr>
      <w:r>
        <w:t xml:space="preserve">Avant signature, le Client consommateur reçoit les caractéristiques essentielles de la mission, l'identité et les coordonnées du cabinet, le mode de calcul du prix, les délais ou étapes prévisibles et la possibilité de recourir à un médiateur. La remise est tracée à la date du [Date d'information précontractuelle].</w:t>
      </w:r>
    </w:p>
    <w:p>
      <w:pPr>
        <w:pStyle w:val="Intertitre"/>
      </w:pPr>
      <w:r>
        <w:t xml:space="preserve">Clause optionnelle : Convention conclue dans les locaux</w:t>
      </w:r>
    </w:p>
    <w:p>
      <w:pPr>
        <w:pStyle w:val="Corps"/>
      </w:pPr>
      <w:r>
        <w:t xml:space="preserve">La lettre est conclue dans les locaux du cabinet, sans application du régime de rétractation propre aux contrats conclus à distance ou hors établissement. Cette qualification est vérifiée d'après les circonstances réelles et non d'après le seul lieu indiqué à la signature.</w:t>
      </w:r>
    </w:p>
    <w:p>
      <w:pPr>
        <w:pStyle w:val="Intertitre"/>
      </w:pPr>
      <w:r>
        <w:t xml:space="preserve">Clause optionnelle : Droit de rétractation du Client consommateur</w:t>
      </w:r>
    </w:p>
    <w:p>
      <w:pPr>
        <w:pStyle w:val="Corps"/>
      </w:pPr>
      <w:r>
        <w:t xml:space="preserve">Pour la lettre conclue à distance ou hors établissement le [Date de conclusion à distance], le Client consommateur dispose du délai légal de [Délai légal de rétractation en jours] jours, dont l'échéance calculée et contrôlée est le [Fin du délai de rétractation]. Il peut notifier sa décision à [Destinataire de la rétractation] au moyen du formulaire [Formulaire de rétractation] ou de toute déclaration non ambiguë.</w:t>
      </w:r>
    </w:p>
    <w:p>
      <w:pPr>
        <w:pStyle w:val="Intertitre"/>
      </w:pPr>
      <w:r>
        <w:t xml:space="preserve">Clause optionnelle : Demande expresse d'exécution avant la fin du délai</w:t>
      </w:r>
    </w:p>
    <w:p>
      <w:pPr>
        <w:pStyle w:val="Corps"/>
      </w:pPr>
      <w:r>
        <w:t xml:space="preserve">Le Client demande expressément, le [Date de demande d'exécution anticipée], que la prestation commence avant l'expiration du délai de rétractation et reconnaît qu'après exécution complète il perdra ce droit dans les conditions légales. En cas de rétractation après commencement régulier, il règle la part proportionnée du service fourni jusqu'à sa décision.</w:t>
      </w:r>
    </w:p>
    <w:p>
      <w:pPr>
        <w:pStyle w:val="Intertitre"/>
      </w:pPr>
      <w:r>
        <w:t xml:space="preserve">Clause optionnelle : Formulaire de rétractation</w:t>
      </w:r>
    </w:p>
    <w:p>
      <w:pPr>
        <w:pStyle w:val="Corps"/>
      </w:pPr>
      <w:r>
        <w:t xml:space="preserve">Le formulaire référencé [Formulaire de rétractation] est remis sur support durable avec les informations permettant de l'adresser à [Destinataire de la rétractation]. Sa remise et son accessibilité sont conservées avec la preuve de conclusion de la convention.</w:t>
      </w:r>
    </w:p>
    <w:p>
      <w:pPr>
        <w:pStyle w:val="Intertitre"/>
      </w:pPr>
      <w:r>
        <w:t xml:space="preserve">Clause optionnelle : Médiation de la consommation</w:t>
      </w:r>
    </w:p>
    <w:p>
      <w:pPr>
        <w:pStyle w:val="Corps"/>
      </w:pPr>
      <w:r>
        <w:t xml:space="preserve">Après une réclamation écrite préalable demeurée sans solution, le Client consommateur peut saisir gratuitement [Médiateur de la consommation], à [Coordonnées du médiateur], selon les informations disponibles sur [Site du médiateur]. Cette faculté n'impose pas une médiation obligatoire ; la saisine du bâtonnier au titre de la contestation des honoraires est susceptible de rendre la médiation irrecevable selon le dispositif applicable.</w:t>
      </w:r>
    </w:p>
    <w:p>
      <w:pPr>
        <w:pStyle w:val="Intertitre"/>
      </w:pPr>
      <w:r>
        <w:t xml:space="preserve">Coopération du Client</w:t>
      </w:r>
    </w:p>
    <w:p>
      <w:pPr>
        <w:pStyle w:val="Corps"/>
      </w:pPr>
      <w:r>
        <w:t xml:space="preserve">Le Client communique des informations exactes, complètes et actualisées, remet les pièces utiles, identifie les versions pertinentes et répond aux demandes de validation selon [Dépendances à la charge du Client]. Il signale immédiatement tout changement susceptible d'affecter l'analyse ou le calendrier.</w:t>
      </w:r>
    </w:p>
    <w:p>
      <w:pPr>
        <w:pStyle w:val="Intertitre"/>
      </w:pPr>
      <w:r>
        <w:t xml:space="preserve">Clause optionnelle : Instructions de plusieurs Clients</w:t>
      </w:r>
    </w:p>
    <w:p>
      <w:pPr>
        <w:pStyle w:val="Corps"/>
      </w:pPr>
      <w:r>
        <w:t xml:space="preserve">Lorsque plusieurs Clients confient la mission, les instructions et intérêts sont organisés selon [Répartition entre Clients]. Toute divergence, risque sérieux de conflit ou menace pour le secret est signalé et traité conformément aux règles professionnelles avant poursuite.</w:t>
      </w:r>
    </w:p>
    <w:p>
      <w:pPr>
        <w:pStyle w:val="Intertitre"/>
      </w:pPr>
      <w:r>
        <w:t xml:space="preserve">Communications autorisées</w:t>
      </w:r>
    </w:p>
    <w:p>
      <w:pPr>
        <w:pStyle w:val="Corps"/>
      </w:pPr>
      <w:r>
        <w:t xml:space="preserve">Les informations et livrables ne sont communiqués qu'aux destinataires [Destinataires autorisés] et aux professionnels nécessaires à la mission dans les limites compatibles avec le secret. Toute diffusion nouvelle ou utilisation publique exige une vérification préalable.</w:t>
      </w:r>
    </w:p>
    <w:p>
      <w:pPr>
        <w:pStyle w:val="Intertitre"/>
      </w:pPr>
      <w:r>
        <w:t xml:space="preserve">Clause optionnelle : Usage encadré d'outils d'intelligence artificielle</w:t>
      </w:r>
    </w:p>
    <w:p>
      <w:pPr>
        <w:pStyle w:val="Corps"/>
      </w:pPr>
      <w:r>
        <w:t xml:space="preserve">L'Avocat peut recourir à une assistance technique par intelligence artificielle selon [Politique d'usage des outils d'intelligence artificielle]. Il conserve la maîtrise du raisonnement et du livrable, contrôle les résultats et n'expose aucune information couverte par le secret à un outil dépourvu de garanties adaptées.</w:t>
      </w:r>
    </w:p>
    <w:p>
      <w:pPr>
        <w:pStyle w:val="Intertitre"/>
      </w:pPr>
      <w:r>
        <w:t xml:space="preserve">Identification du Client et de la relation</w:t>
      </w:r>
    </w:p>
    <w:p>
      <w:pPr>
        <w:pStyle w:val="Corps"/>
      </w:pPr>
      <w:r>
        <w:t xml:space="preserve">L'identité, le pouvoir, les coordonnées et, le cas échéant, le bénéficiaire effectif sont vérifiés à partir de documents probants. L'objet et la nature de la relation sont décrits par [Objet et nature de la relation] et actualisés si la mission évolue.</w:t>
      </w:r>
    </w:p>
    <w:p>
      <w:pPr>
        <w:pStyle w:val="Intertitre"/>
      </w:pPr>
      <w:r>
        <w:t xml:space="preserve">Clause optionnelle : Diligences de vigilance applicables</w:t>
      </w:r>
    </w:p>
    <w:p>
      <w:pPr>
        <w:pStyle w:val="Corps"/>
      </w:pPr>
      <w:r>
        <w:t xml:space="preserve">Lorsque la mission entre dans le champ des obligations de vigilance, les contrôles portent sur [Périmètre des diligences de vigilance] et sur le bénéficiaire effectif suivant : [Bénéficiaire effectif]. L'étendue des demandes et toute impossibilité de poursuivre sont appréciées selon les textes et règles professionnelles applicables.</w:t>
      </w:r>
    </w:p>
    <w:p>
      <w:pPr>
        <w:pStyle w:val="Intertitre"/>
      </w:pPr>
      <w:r>
        <w:t xml:space="preserve">Fin de mission à l'initiative du Client</w:t>
      </w:r>
    </w:p>
    <w:p>
      <w:pPr>
        <w:pStyle w:val="Corps"/>
      </w:pPr>
      <w:r>
        <w:t xml:space="preserve">Le Client peut mettre fin à la mission par [Notification de fin par le Client]. Il règle les honoraires correspondant aux diligences accomplies, phases engagées ou périodes dues, ainsi que les frais et débours, selon [Compte de fin de mission].</w:t>
      </w:r>
    </w:p>
    <w:p>
      <w:pPr>
        <w:pStyle w:val="Intertitre"/>
      </w:pPr>
      <w:r>
        <w:t xml:space="preserve">Retrait de l'Avocat</w:t>
      </w:r>
    </w:p>
    <w:p>
      <w:pPr>
        <w:pStyle w:val="Corps"/>
      </w:pPr>
      <w:r>
        <w:t xml:space="preserve">L'Avocat peut cesser son intervention dans le respect de ses obligations professionnelles, notamment en cas de défaut de provision ou de paiement, rupture de confiance, instruction illicite ou conflit. Il en informe le Client en temps utile, précise les échéances connues et prend les mesures raisonnables pour ne pas compromettre ses intérêts.</w:t>
      </w:r>
    </w:p>
    <w:p>
      <w:pPr>
        <w:pStyle w:val="Intertitre"/>
      </w:pPr>
      <w:r>
        <w:t xml:space="preserve">État des travaux à la fin de mission</w:t>
      </w:r>
    </w:p>
    <w:p>
      <w:pPr>
        <w:pStyle w:val="Corps"/>
      </w:pPr>
      <w:r>
        <w:t xml:space="preserve">À la date de fin, l'état des livrables est le suivant : [État des livrables à la fin]. Les brouillons et analyses en cours sont transmis avec leur statut, leurs hypothèses et les validations manquantes ; ils ne sont pas présentés comme des versions finales.</w:t>
      </w:r>
    </w:p>
    <w:p>
      <w:pPr>
        <w:pStyle w:val="Intertitre"/>
      </w:pPr>
      <w:r>
        <w:t xml:space="preserve">Restitution et transmission du dossier</w:t>
      </w:r>
    </w:p>
    <w:p>
      <w:pPr>
        <w:pStyle w:val="Corps"/>
      </w:pPr>
      <w:r>
        <w:t xml:space="preserve">Les pièces et travaux sont restitués ou transmis selon [Restitution du dossier]. Le cabinet coopère avec le nouveau conseil lorsque le Client le désigne, sous réserve du secret, de l'identification du destinataire et des règles professionnelles ; les échéances urgentes sont clairement signalées.</w:t>
      </w:r>
    </w:p>
    <w:p>
      <w:pPr>
        <w:pStyle w:val="Intertitre"/>
      </w:pPr>
      <w:r>
        <w:t xml:space="preserve">État de fin de mission</w:t>
      </w:r>
    </w:p>
    <w:p>
      <w:pPr>
        <w:pStyle w:val="Corps"/>
      </w:pPr>
      <w:r>
        <w:t xml:space="preserve">Livrable | version | avancement | validation manquante | remise | honoraire acquis | solde. Données : [État de fin de mission].</w:t>
      </w:r>
    </w:p>
    <w:p>
      <w:pPr>
        <w:pStyle w:val="Intertitre"/>
      </w:pPr>
      <w:r>
        <w:t xml:space="preserve">Contestation des honoraires et débours</w:t>
      </w:r>
    </w:p>
    <w:p>
      <w:pPr>
        <w:pStyle w:val="Corps"/>
      </w:pPr>
      <w:r>
        <w:t xml:space="preserve">Toute contestation portant sur le montant ou le recouvrement des honoraires ou débours relève de la procédure spéciale devant le bâtonnier du Barreau de [Barreau compétent pour la contestation], saisi à [Adresse de saisine du bâtonnier] selon les formes en vigueur. La décision et les voies de recours obéissent aux textes applicables ; les parties peuvent d'abord rechercher une explication ou un accord sans renoncer à leurs droits.</w:t>
      </w:r>
    </w:p>
    <w:p>
      <w:pPr>
        <w:pStyle w:val="Intertitre"/>
      </w:pPr>
      <w:r>
        <w:t xml:space="preserve">Exécution de bonne foi et modification écrite</w:t>
      </w:r>
    </w:p>
    <w:p>
      <w:pPr>
        <w:pStyle w:val="Corps"/>
      </w:pPr>
      <w:r>
        <w:t xml:space="preserve">Les parties exécutent la lettre de bonne foi. Toute modification de la mission, d'un pouvoir, d'un livrable ou de la rémunération est convenue expressément ; l'inapplicabilité d'une stipulation n'autorise pas à créer un service, un pouvoir ou un prix non accepté.</w:t>
      </w:r>
    </w:p>
    <w:p>
      <w:pPr>
        <w:pStyle w:val="Intertitre"/>
      </w:pPr>
      <w:r>
        <w:t xml:space="preserve">Écrit et signature électroniques</w:t>
      </w:r>
    </w:p>
    <w:p>
      <w:pPr>
        <w:pStyle w:val="Corps"/>
      </w:pPr>
      <w:r>
        <w:t xml:space="preserve">La convention peut être établie, transmise, conservée et signée électroniquement dès lors que l'identité des signataires et l'intégrité de l'acte sont assurées. Chaque partie reçoit ou peut conserver un exemplaire durable correspondant au texte accepté.</w:t>
      </w:r>
    </w:p>
    <w:p>
      <w:pPr>
        <w:pStyle w:val="Intertitre"/>
      </w:pPr>
      <w:r>
        <w:t xml:space="preserve">Documents annexés ou remis</w:t>
      </w:r>
    </w:p>
    <w:p>
      <w:pPr>
        <w:pStyle w:val="Corps"/>
      </w:pPr>
      <w:r>
        <w:t xml:space="preserve">Sont annexés ou remis au Client : [Liste des annexes]. La liste comprend, selon la mission, le périmètre, les questions, les pièces de référence, les livrables, le calendrier, les honoraires, les frais, les pouvoirs, les notices consommateur et les modalités de traitement des données.</w:t>
      </w:r>
    </w:p>
    <w:p>
      <w:pPr>
        <w:pStyle w:val="Intertitre"/>
      </w:pPr>
      <w:r>
        <w:t xml:space="preserve">Signature de l'Avocat</w:t>
      </w:r>
    </w:p>
    <w:p>
      <w:pPr>
        <w:pStyle w:val="Corps"/>
      </w:pPr>
      <w:r>
        <w:t xml:space="preserve">Fait à [Lieu de signature], le [Date de signature]. Pour le cabinet, [Signataire pour le cabinet] signe après vérification du Client, des conflits, du périmètre, des livrables, des pouvoirs, du calendrier, des honoraires, des informations dues et des pièces annexées.</w:t>
      </w:r>
    </w:p>
    <w:p>
      <w:pPr>
        <w:pStyle w:val="Intertitre"/>
      </w:pPr>
      <w:r>
        <w:t xml:space="preserve">Signature du Client</w:t>
      </w:r>
    </w:p>
    <w:p>
      <w:pPr>
        <w:pStyle w:val="Corps"/>
      </w:pPr>
      <w:r>
        <w:t xml:space="preserve">Le Client, par [Signataire pour le Client], accepte le périmètre, les hypothèses, les exclusions, les livrables, les pouvoirs limités, les conditions d'utilisation, le calendrier, la rémunération, les frais et les voies de contestation après avoir pu demander les explications nécessaires.</w:t>
      </w:r>
    </w:p>
    <w:p>
      <w:pPr>
        <w:pStyle w:val="Intertitre"/>
      </w:pPr>
      <w:r>
        <w:t xml:space="preserve">Clause optionnelle : Confirmation du pouvoir de signature</w:t>
      </w:r>
    </w:p>
    <w:p>
      <w:pPr>
        <w:pStyle w:val="Corps"/>
      </w:pPr>
      <w:r>
        <w:t xml:space="preserve">Le signataire [Représentant du Client] confirme agir en qualité de [Qualité du représentant] sur le fondement de [Justificatif du pouvoir] et disposer du pouvoir nécessaire pour engager le Client personne morale au titre de la mission et de son coût.</w:t>
      </w:r>
    </w:p>
    <w:p>
      <w:pPr>
        <w:pStyle w:val="Intertitre"/>
      </w:pPr>
      <w:r>
        <w:t xml:space="preserve">Clause optionnelle : Signature de plusieurs Clients</w:t>
      </w:r>
    </w:p>
    <w:p>
      <w:pPr>
        <w:pStyle w:val="Corps"/>
      </w:pPr>
      <w:r>
        <w:t xml:space="preserve">Les Clients signent selon [Signature de plusieurs Clients]. Chacun confirme ses instructions, son utilisation autorisée des livrables et ses obligations de paiement propres, sans solidarité ni mandat donné à un autre signataire sauf clause expresse.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