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CONTRAT DE CESSION DE DROITS DE PROPRIÉTÉ INTELLECTUELLE</w:t>
      </w:r>
    </w:p>
    <w:p>
      <w:pPr>
        <w:pStyle w:val="Intertitre"/>
      </w:pPr>
      <w:r>
        <w:t xml:space="preserve">Quel est le stade du contrat ? — choisir une seule variante</w:t>
      </w:r>
    </w:p>
    <w:p>
      <w:pPr>
        <w:pStyle w:val="Variante"/>
      </w:pPr>
      <w:r>
        <w:t xml:space="preserve">Variante : PROJET DE CONTRAT</w:t>
      </w:r>
    </w:p>
    <w:p>
      <w:pPr>
        <w:pStyle w:val="Corps"/>
      </w:pPr>
      <w:r>
        <w:t xml:space="preserve">Projet référencé [Référence du contrat]. Aucune signature, remise, recette ou prise d'effet n'est présentée comme acquise. Il demeure une base de négociation et ne vaut ni transfert actuel, ni reçu de livraison, ni reconnaissance de conformité des actifs.</w:t>
      </w:r>
    </w:p>
    <w:p>
      <w:pPr>
        <w:pStyle w:val="Variante"/>
      </w:pPr>
      <w:r>
        <w:t xml:space="preserve">Variante : CONTRAT PRÊT À SIGNER</w:t>
      </w:r>
    </w:p>
    <w:p>
      <w:pPr>
        <w:pStyle w:val="Corps"/>
      </w:pPr>
      <w:r>
        <w:t xml:space="preserve">L'identité des parties, la chaîne de droits, les actifs, le domaine d'exploitation, la rémunération et les annexes ont été contrôlés. La version reste subordonnée aux signatures concordantes, aux annexes définitives et aux conditions préalables expressément retenues.</w:t>
      </w:r>
    </w:p>
    <w:p>
      <w:pPr>
        <w:pStyle w:val="Variante"/>
      </w:pPr>
      <w:r>
        <w:t xml:space="preserve">Variante : CONTRAT SIGNÉ</w:t>
      </w:r>
    </w:p>
    <w:p>
      <w:pPr>
        <w:pStyle w:val="Corps"/>
      </w:pPr>
      <w:r>
        <w:t xml:space="preserve">Les signatures vérifiées sont [Signature du cédant] et [Signature du cessionnaire]. La date d'effet demeure celle stipulée par [Date d'effet]. Les exemplaires signés, leurs annexes et la preuve du pouvoir de chaque signataire sont conservés dans un même dossier contractuel.</w:t>
      </w:r>
    </w:p>
    <w:p>
      <w:pPr>
        <w:pStyle w:val="Variante"/>
      </w:pPr>
      <w:r>
        <w:t xml:space="preserve">Variante : CESSION AYANT PRIS EFFET</w:t>
      </w:r>
    </w:p>
    <w:p>
      <w:pPr>
        <w:pStyle w:val="Corps"/>
      </w:pPr>
      <w:r>
        <w:t xml:space="preserve">La cession a pris effet le [Date d'effet] sous réserve des conditions, remises et paiements effectivement accomplis. La date d'effet est distinguée de la signature, du paiement et de la remise technique lorsque ces événements interviennent séparément.</w:t>
      </w:r>
    </w:p>
    <w:p>
      <w:pPr>
        <w:pStyle w:val="Intertitre"/>
      </w:pPr>
      <w:r>
        <w:t xml:space="preserve">CONTRAT DE CESSION DE DROITS DE PROPRIÉTÉ INTELLECTUELLE</w:t>
      </w:r>
    </w:p>
    <w:p>
      <w:pPr>
        <w:pStyle w:val="Corps"/>
      </w:pPr>
      <w:r>
        <w:t xml:space="preserve">Les parties conviennent de la cession des seuls actifs et droits expressément identifiés ci-après. Le transfert est limité aux droits patrimoniaux, actifs, versions, territoires, durées, destinations et modes d'exploitation décrits dans le contrat et ses annexes.</w:t>
      </w:r>
    </w:p>
    <w:p>
      <w:pPr>
        <w:pStyle w:val="Intertitre"/>
      </w:pPr>
      <w:r>
        <w:t xml:space="preserve">Quelle est la qualité du cédant ? — choisir une seule variante</w:t>
      </w:r>
    </w:p>
    <w:p>
      <w:pPr>
        <w:pStyle w:val="Variante"/>
      </w:pPr>
      <w:r>
        <w:t xml:space="preserve">Variante : LE CÉDANT PERSONNE PHYSIQUE</w:t>
      </w:r>
    </w:p>
    <w:p>
      <w:pPr>
        <w:pStyle w:val="Corps"/>
      </w:pPr>
      <w:r>
        <w:t xml:space="preserve">Le cédant est [Identité du cédant], agissant en qualité de [Qualité du cédant]. Son identité d'auteur, sa capacité, son adresse et le lien entre ses créations et les actifs inventoriés sont établis par des pièces identifiées.</w:t>
      </w:r>
    </w:p>
    <w:p>
      <w:pPr>
        <w:pStyle w:val="Variante"/>
      </w:pPr>
      <w:r>
        <w:t xml:space="preserve">Variante : LE CÉDANT PERSONNE MORALE</w:t>
      </w:r>
    </w:p>
    <w:p>
      <w:pPr>
        <w:pStyle w:val="Corps"/>
      </w:pPr>
      <w:r>
        <w:t xml:space="preserve">Le cédant est [Identité du cédant], représenté par [Représentant du cédant], dont la qualité et les pouvoirs ressortent de [Pouvoirs des signataires]. La personne morale ne peut céder que les droits dont elle justifie la chaîne d'acquisition; aucune titularité n'est déduite de sa seule exploitation commerciale.</w:t>
      </w:r>
    </w:p>
    <w:p>
      <w:pPr>
        <w:pStyle w:val="Intertitre"/>
      </w:pPr>
      <w:r>
        <w:t xml:space="preserve">Quelle est la qualité du cessionnaire ? — choisir une seule variante</w:t>
      </w:r>
    </w:p>
    <w:p>
      <w:pPr>
        <w:pStyle w:val="Variante"/>
      </w:pPr>
      <w:r>
        <w:t xml:space="preserve">Variante : LE CESSIONNAIRE PERSONNE PHYSIQUE</w:t>
      </w:r>
    </w:p>
    <w:p>
      <w:pPr>
        <w:pStyle w:val="Corps"/>
      </w:pPr>
      <w:r>
        <w:t xml:space="preserve">Le cessionnaire est [Identité du cessionnaire] et sa capacité à contracter a été vérifiée. Son identité, son domicile et, le cas échéant, sa représentation sont repris depuis les justificatifs sans valeur de démonstration.</w:t>
      </w:r>
    </w:p>
    <w:p>
      <w:pPr>
        <w:pStyle w:val="Variante"/>
      </w:pPr>
      <w:r>
        <w:t xml:space="preserve">Variante : LE CESSIONNAIRE PERSONNE MORALE</w:t>
      </w:r>
    </w:p>
    <w:p>
      <w:pPr>
        <w:pStyle w:val="Corps"/>
      </w:pPr>
      <w:r>
        <w:t xml:space="preserve">Le cessionnaire est [Identité du cessionnaire], représenté par [Représentant du cessionnaire], dont les pouvoirs ressortent de [Pouvoirs des signataires]. La forme, l'immatriculation, le siège, la qualité du représentant et l'étendue de son pouvoir sont contrôlés avant signature.</w:t>
      </w:r>
    </w:p>
    <w:p>
      <w:pPr>
        <w:pStyle w:val="Intertitre"/>
      </w:pPr>
      <w:r>
        <w:t xml:space="preserve">CONTEXTE</w:t>
      </w:r>
    </w:p>
    <w:p>
      <w:pPr>
        <w:pStyle w:val="Corps"/>
      </w:pPr>
      <w:r>
        <w:t xml:space="preserve">La cession intervient dans le contexte [Contexte de la cession] et tient compte des contrats antérieurs [Contrats antérieurs]. Le préambule explique la finalité économique sans étendre le périmètre de la cession au-delà des stipulations opérationnelles et de l'inventaire.</w:t>
      </w:r>
    </w:p>
    <w:p>
      <w:pPr>
        <w:pStyle w:val="Intertitre"/>
      </w:pPr>
      <w:r>
        <w:t xml:space="preserve">Quelle chaîne de titularité est applicable ? — choisir une seule variante</w:t>
      </w:r>
    </w:p>
    <w:p>
      <w:pPr>
        <w:pStyle w:val="Variante"/>
      </w:pPr>
      <w:r>
        <w:t xml:space="preserve">Variante : AUTEUR CÉDANT DIRECTEMENT</w:t>
      </w:r>
    </w:p>
    <w:p>
      <w:pPr>
        <w:pStyle w:val="Corps"/>
      </w:pPr>
      <w:r>
        <w:t xml:space="preserve">La titularité du cédant ressort de [Chaîne de titularité] et l'auteur concerné est identifié dans [Auteurs et contributeurs]. La preuve relie chaque œuvre, version et contribution à l'auteur cédant et distingue les éléments créés avec des tiers ou sous un autre contrat.</w:t>
      </w:r>
    </w:p>
    <w:p>
      <w:pPr>
        <w:pStyle w:val="Variante"/>
      </w:pPr>
      <w:r>
        <w:t xml:space="preserve">Variante : LOGICIEL CRÉÉ PAR DES EMPLOYÉS</w:t>
      </w:r>
    </w:p>
    <w:p>
      <w:pPr>
        <w:pStyle w:val="Corps"/>
      </w:pPr>
      <w:r>
        <w:t xml:space="preserve">La dévolution invoquée repose sur [Création salariée] et la chaîne complète est [Chaîne de titularité] ; les créations hors champ salarié restent exclues sans cession distincte. Les fonctions, instructions, dates de création et versions sont rapprochées du régime invoqué; les œuvres autres que le logiciel restent traitées selon leur titre propre.</w:t>
      </w:r>
    </w:p>
    <w:p>
      <w:pPr>
        <w:pStyle w:val="Variante"/>
      </w:pPr>
      <w:r>
        <w:t xml:space="preserve">Variante : LOGICIEL CRÉÉ EN STRUCTURE DE RECHERCHE</w:t>
      </w:r>
    </w:p>
    <w:p>
      <w:pPr>
        <w:pStyle w:val="Corps"/>
      </w:pPr>
      <w:r>
        <w:t xml:space="preserve">Le régime invoqué repose sur [Création en structure de recherche] et la chaîne des droits est [Chaîne de titularité]. La qualité des personnes, la structure d'accueil, les missions, les dates et les règles applicables sont documentées actif par actif.</w:t>
      </w:r>
    </w:p>
    <w:p>
      <w:pPr>
        <w:pStyle w:val="Variante"/>
      </w:pPr>
      <w:r>
        <w:t xml:space="preserve">Variante : CRÉATIONS DE PRESTATAIRES</w:t>
      </w:r>
    </w:p>
    <w:p>
      <w:pPr>
        <w:pStyle w:val="Corps"/>
      </w:pPr>
      <w:r>
        <w:t xml:space="preserve">Les auteurs et créations sont [Auteurs et contributeurs] et les cessions écrites correspondantes sont [Cessions des prestataires]. Chaque acte antérieur est rapproché de l'auteur, de l'œuvre, des droits, de la durée, du territoire, des destinations et de la rémunération concernés.</w:t>
      </w:r>
    </w:p>
    <w:p>
      <w:pPr>
        <w:pStyle w:val="Variante"/>
      </w:pPr>
      <w:r>
        <w:t xml:space="preserve">Variante : CHAÎNE DE TITULARITÉ MIXTE</w:t>
      </w:r>
    </w:p>
    <w:p>
      <w:pPr>
        <w:pStyle w:val="Corps"/>
      </w:pPr>
      <w:r>
        <w:t xml:space="preserve">Les auteurs, salariés, prestataires et transmissions sont retracés dans [Auteurs et contributeurs], [Création salariée], [Cessions des prestataires] et [Chaîne de titularité]. Un tableau de chaîne de droits relie chaque contribution à son auteur, son statut, son acte d'acquisition et ses éventuelles restrictions.</w:t>
      </w:r>
    </w:p>
    <w:p>
      <w:pPr>
        <w:pStyle w:val="Intertitre"/>
      </w:pPr>
      <w:r>
        <w:t xml:space="preserve">INVENTAIRE DES ACTIFS</w:t>
      </w:r>
    </w:p>
    <w:p>
      <w:pPr>
        <w:pStyle w:val="Corps"/>
      </w:pPr>
      <w:r>
        <w:t xml:space="preserve">Les actifs cédés sont identifiés par [Inventaire des actifs cédés]. Tout actif non identifié demeure exclu. L'annexe précise pour chaque actif son nom, sa version, sa date, son auteur ou producteur, son emplacement, son empreinte ou identifiant et son statut de titularité.</w:t>
      </w:r>
    </w:p>
    <w:p>
      <w:pPr>
        <w:pStyle w:val="Intertitre"/>
      </w:pPr>
      <w:r>
        <w:t xml:space="preserve">Clause optionnelle : LOGICIEL</w:t>
      </w:r>
    </w:p>
    <w:p>
      <w:pPr>
        <w:pStyle w:val="Corps"/>
      </w:pPr>
      <w:r>
        <w:t xml:space="preserve">Les logiciels et versions concernés sont [Logiciels cédés]. Chaque logiciel est individualisé par produit, composant, branche ou version afin d'éviter une cession implicite d'autres développements.</w:t>
      </w:r>
    </w:p>
    <w:p>
      <w:pPr>
        <w:pStyle w:val="Intertitre"/>
      </w:pPr>
      <w:r>
        <w:t xml:space="preserve">Clause optionnelle : CODE SOURCE</w:t>
      </w:r>
    </w:p>
    <w:p>
      <w:pPr>
        <w:pStyle w:val="Corps"/>
      </w:pPr>
      <w:r>
        <w:t xml:space="preserve">Le périmètre du code source est [Code source] et ne comprend aucun dépôt, module ou secret non expressément listé. L'annexe distingue le code propre, les dépendances, les sous-modules, les scripts, les configurations, les historiques et les éléments secrets exclus.</w:t>
      </w:r>
    </w:p>
    <w:p>
      <w:pPr>
        <w:pStyle w:val="Intertitre"/>
      </w:pPr>
      <w:r>
        <w:t xml:space="preserve">Clause optionnelle : CODE OBJET ET EXÉCUTABLES</w:t>
      </w:r>
    </w:p>
    <w:p>
      <w:pPr>
        <w:pStyle w:val="Corps"/>
      </w:pPr>
      <w:r>
        <w:t xml:space="preserve">Les binaires, paquets et environnements concernés sont [Code objet et exécutables]. Les formats, architectures, versions, signatures et supports de remise sont décrits et reliés au code source lorsqu'une correspondance est revendiquée.</w:t>
      </w:r>
    </w:p>
    <w:p>
      <w:pPr>
        <w:pStyle w:val="Intertitre"/>
      </w:pPr>
      <w:r>
        <w:t xml:space="preserve">Clause optionnelle : DOCUMENTATION</w:t>
      </w:r>
    </w:p>
    <w:p>
      <w:pPr>
        <w:pStyle w:val="Corps"/>
      </w:pPr>
      <w:r>
        <w:t xml:space="preserve">La documentation cédée est [Documentation logicielle] et ses auteurs ou sources sont rattachés à la chaîne de titularité. Les formats éditables, versions, langues, fichiers sources et droits sur les illustrations ou contributions tierces sont identifiés séparément.</w:t>
      </w:r>
    </w:p>
    <w:p>
      <w:pPr>
        <w:pStyle w:val="Intertitre"/>
      </w:pPr>
      <w:r>
        <w:t xml:space="preserve">Clause optionnelle : CRÉATIONS GRAPHIQUES ET DESIGN</w:t>
      </w:r>
    </w:p>
    <w:p>
      <w:pPr>
        <w:pStyle w:val="Corps"/>
      </w:pPr>
      <w:r>
        <w:t xml:space="preserve">Les maquettes, interfaces, graphismes et fichiers sources sont [Créations graphiques et designs]. Chaque création est reliée à ses fichiers sources, déclinaisons, composants, auteurs, dates et usages, sans englober une charte ou une marque non listée.</w:t>
      </w:r>
    </w:p>
    <w:p>
      <w:pPr>
        <w:pStyle w:val="Intertitre"/>
      </w:pPr>
      <w:r>
        <w:t xml:space="preserve">Clause optionnelle : DESIGNS NON ENREGISTRÉS</w:t>
      </w:r>
    </w:p>
    <w:p>
      <w:pPr>
        <w:pStyle w:val="Corps"/>
      </w:pPr>
      <w:r>
        <w:t xml:space="preserve">Aucun titre enregistré n'est cédé ; les droits éventuels reposent sur les créations précisément identifiées dans [Créations graphiques et designs]. La protection éventuelle par droit d'auteur et les preuves de date ou de création sont distinguées de tout titre de dessin ou modèle.</w:t>
      </w:r>
    </w:p>
    <w:p>
      <w:pPr>
        <w:pStyle w:val="Intertitre"/>
      </w:pPr>
      <w:r>
        <w:t xml:space="preserve">Clause optionnelle : DESSINS ET MODÈLES ENREGISTRÉS</w:t>
      </w:r>
    </w:p>
    <w:p>
      <w:pPr>
        <w:pStyle w:val="Corps"/>
      </w:pPr>
      <w:r>
        <w:t xml:space="preserve">Les titres, offices, territoires et statuts concernés sont [Dessins et modèles enregistrés]. Chaque numéro, titulaire inscrit, date, classe, office, territoire, renouvellement et charge est vérifié avant d'affirmer son transfert.</w:t>
      </w:r>
    </w:p>
    <w:p>
      <w:pPr>
        <w:pStyle w:val="Intertitre"/>
      </w:pPr>
      <w:r>
        <w:t xml:space="preserve">Clause optionnelle : STRUCTURE DE BASE DE DONNÉES</w:t>
      </w:r>
    </w:p>
    <w:p>
      <w:pPr>
        <w:pStyle w:val="Corps"/>
      </w:pPr>
      <w:r>
        <w:t xml:space="preserve">La structure, les schémas, interfaces et versions concernés sont [Structure de base de données]. Les tables, schémas, taxonomies, interfaces, documentations et versions sont distingués du logiciel qui les exploite et du contenu enregistré.</w:t>
      </w:r>
    </w:p>
    <w:p>
      <w:pPr>
        <w:pStyle w:val="Intertitre"/>
      </w:pPr>
      <w:r>
        <w:t xml:space="preserve">Clause optionnelle : CONTENU DE BASE DE DONNÉES</w:t>
      </w:r>
    </w:p>
    <w:p>
      <w:pPr>
        <w:pStyle w:val="Corps"/>
      </w:pPr>
      <w:r>
        <w:t xml:space="preserve">Le contenu concerné est [Contenu de base de données] et ses éléments tiers ou réglementés sont isolés. La provenance, les droits de tiers, les données personnelles, les licences et les restrictions propres aux enregistrements sont inventoriés.</w:t>
      </w:r>
    </w:p>
    <w:p>
      <w:pPr>
        <w:pStyle w:val="Intertitre"/>
      </w:pPr>
      <w:r>
        <w:t xml:space="preserve">Clause optionnelle : DROIT DU PRODUCTEUR DE BASE DE DONNÉES</w:t>
      </w:r>
    </w:p>
    <w:p>
      <w:pPr>
        <w:pStyle w:val="Corps"/>
      </w:pPr>
      <w:r>
        <w:t xml:space="preserve">L'initiative, le risque et l'investissement substantiel sont documentés par [Investissement du producteur]. Les investissements financiers, matériels ou humains invoqués, leur période et la qualité de producteur sont établis avant de céder ce droit autonome.</w:t>
      </w:r>
    </w:p>
    <w:p>
      <w:pPr>
        <w:pStyle w:val="Intertitre"/>
      </w:pPr>
      <w:r>
        <w:t xml:space="preserve">Clause optionnelle : ACTIFS EXPRESSÉMENT EXCLUS</w:t>
      </w:r>
    </w:p>
    <w:p>
      <w:pPr>
        <w:pStyle w:val="Corps"/>
      </w:pPr>
      <w:r>
        <w:t xml:space="preserve">Les actifs, composants, données et droits exclus sont [Actifs exclus]. L'exclusion précise notamment les marques, brevets, noms de domaine, savoir-faire, données, outils internes, secrets, composants tiers et versions non remis.</w:t>
      </w:r>
    </w:p>
    <w:p>
      <w:pPr>
        <w:pStyle w:val="Intertitre"/>
      </w:pPr>
      <w:r>
        <w:t xml:space="preserve">Des éléments de tiers sont-ils présents ? — choisir une seule variante</w:t>
      </w:r>
    </w:p>
    <w:p>
      <w:pPr>
        <w:pStyle w:val="Variante"/>
      </w:pPr>
      <w:r>
        <w:t xml:space="preserve">Variante : ABSENCE D'ÉLÉMENT TIERS IDENTIFIÉ</w:t>
      </w:r>
    </w:p>
    <w:p>
      <w:pPr>
        <w:pStyle w:val="Corps"/>
      </w:pPr>
      <w:r>
        <w:t xml:space="preserve">Aucun composant ou contenu de tiers n'est identifié dans l'inventaire vérifié. Cette conclusion repose sur un inventaire et un contrôle documentés; elle doit être réexaminée si une dépendance ou contribution nouvelle apparaît.</w:t>
      </w:r>
    </w:p>
    <w:p>
      <w:pPr>
        <w:pStyle w:val="Variante"/>
      </w:pPr>
      <w:r>
        <w:t xml:space="preserve">Variante : ÉLÉMENTS DE TIERS</w:t>
      </w:r>
    </w:p>
    <w:p>
      <w:pPr>
        <w:pStyle w:val="Corps"/>
      </w:pPr>
      <w:r>
        <w:t xml:space="preserve">Les éléments de tiers, leurs titulaires, licences et restrictions sont [Composants tiers]. Pour chaque élément sont précisés la version, la licence, le titulaire, l'obligation applicable, le mode d'intégration et l'effet sur l'exploitation envisagée.</w:t>
      </w:r>
    </w:p>
    <w:p>
      <w:pPr>
        <w:pStyle w:val="Intertitre"/>
      </w:pPr>
      <w:r>
        <w:t xml:space="preserve">Quelle est la situation open source ? — choisir une seule variante</w:t>
      </w:r>
    </w:p>
    <w:p>
      <w:pPr>
        <w:pStyle w:val="Variante"/>
      </w:pPr>
      <w:r>
        <w:t xml:space="preserve">Variante : ABSENCE DE COMPOSANT OPEN SOURCE IDENTIFIÉ</w:t>
      </w:r>
    </w:p>
    <w:p>
      <w:pPr>
        <w:pStyle w:val="Corps"/>
      </w:pPr>
      <w:r>
        <w:t xml:space="preserve">Aucun composant open source n'est identifié dans l'analyse vérifiée. Cette branche ne vaut pas garantie absolue et repose sur l'analyse des dépendances, dépôts, fichiers de licences et livrables effectivement contrôlés.</w:t>
      </w:r>
    </w:p>
    <w:p>
      <w:pPr>
        <w:pStyle w:val="Variante"/>
      </w:pPr>
      <w:r>
        <w:t xml:space="preserve">Variante : COMPOSANTS OPEN SOURCE PERMISSIFS</w:t>
      </w:r>
    </w:p>
    <w:p>
      <w:pPr>
        <w:pStyle w:val="Corps"/>
      </w:pPr>
      <w:r>
        <w:t xml:space="preserve">Les composants, versions, licences, avis et obligations sont [Composants open source]. Les obligations d'avis, d'attribution, de reproduction de licence, de marquage des modifications et de fourniture de mentions sont organisées à la remise.</w:t>
      </w:r>
    </w:p>
    <w:p>
      <w:pPr>
        <w:pStyle w:val="Variante"/>
      </w:pPr>
      <w:r>
        <w:t xml:space="preserve">Variante : COMPOSANTS COPYLEFT</w:t>
      </w:r>
    </w:p>
    <w:p>
      <w:pPr>
        <w:pStyle w:val="Corps"/>
      </w:pPr>
      <w:r>
        <w:t xml:space="preserve">Les composants, licences et obligations sont [Composants open source] ; l'analyse de réciprocité et de compatibilité est [Analyse copyleft]. Le périmètre de réciprocité, les obligations de mise à disposition du code, les modalités de distribution et les incompatibilités sont traités composant par composant.</w:t>
      </w:r>
    </w:p>
    <w:p>
      <w:pPr>
        <w:pStyle w:val="Variante"/>
      </w:pPr>
      <w:r>
        <w:t xml:space="preserve">Variante : LICENCES OPEN SOURCE NON RÉSOLUES</w:t>
      </w:r>
    </w:p>
    <w:p>
      <w:pPr>
        <w:pStyle w:val="Corps"/>
      </w:pPr>
      <w:r>
        <w:t xml:space="preserve">Des composants sont identifiés sans licence, version ou analyse suffisante. Les licences, modes de liaison et obligations doivent être qualifiés avant toute finalisation de la cession ou promesse de libre exploitation.</w:t>
      </w:r>
    </w:p>
    <w:p>
      <w:pPr>
        <w:pStyle w:val="Intertitre"/>
      </w:pPr>
      <w:r>
        <w:t xml:space="preserve">Clause optionnelle : DROIT DE REPRODUCTION</w:t>
      </w:r>
    </w:p>
    <w:p>
      <w:pPr>
        <w:pStyle w:val="Corps"/>
      </w:pPr>
      <w:r>
        <w:t xml:space="preserve">Le droit de reproduction est cédé dans les limites [Droit de reproduction]. Sont précisés les supports, formats, quantités, procédés de fixation, copies temporaires ou permanentes et usages internes ou externes autorisés.</w:t>
      </w:r>
    </w:p>
    <w:p>
      <w:pPr>
        <w:pStyle w:val="Intertitre"/>
      </w:pPr>
      <w:r>
        <w:t xml:space="preserve">Clause optionnelle : DROIT DE REPRÉSENTATION</w:t>
      </w:r>
    </w:p>
    <w:p>
      <w:pPr>
        <w:pStyle w:val="Corps"/>
      </w:pPr>
      <w:r>
        <w:t xml:space="preserve">Le droit de représentation est cédé dans les limites [Droit de représentation]. Sont précisés les procédés de communication, réseaux, publics, services, terminaux et modes de mise à disposition couverts.</w:t>
      </w:r>
    </w:p>
    <w:p>
      <w:pPr>
        <w:pStyle w:val="Intertitre"/>
      </w:pPr>
      <w:r>
        <w:t xml:space="preserve">Clause optionnelle : ADAPTATION, MODIFICATION ET TRADUCTION</w:t>
      </w:r>
    </w:p>
    <w:p>
      <w:pPr>
        <w:pStyle w:val="Corps"/>
      </w:pPr>
      <w:r>
        <w:t xml:space="preserve">Le droit d'adapter, modifier, traduire et intégrer est cédé dans les limites [Droit d'adaptation]. Le périmètre distingue corrections, évolutions, portages, traductions, interfaces, assemblages, œuvres dérivées et intégration dans un ensemble complexe.</w:t>
      </w:r>
    </w:p>
    <w:p>
      <w:pPr>
        <w:pStyle w:val="Intertitre"/>
      </w:pPr>
      <w:r>
        <w:t xml:space="preserve">Clause optionnelle : DISTRIBUTION ET MISE SUR LE MARCHÉ</w:t>
      </w:r>
    </w:p>
    <w:p>
      <w:pPr>
        <w:pStyle w:val="Corps"/>
      </w:pPr>
      <w:r>
        <w:t xml:space="preserve">Le droit de distribuer et mettre sur le marché est cédé dans les limites [Droit de distribution]. La clause précise vente, location, prêt, téléchargement, accès en ligne, distribution indirecte, canaux, partenaires et restrictions éventuelles.</w:t>
      </w:r>
    </w:p>
    <w:p>
      <w:pPr>
        <w:pStyle w:val="Intertitre"/>
      </w:pPr>
      <w:r>
        <w:t xml:space="preserve">Clause optionnelle : DROITS D'EXPLOITATION DU LOGICIEL</w:t>
      </w:r>
    </w:p>
    <w:p>
      <w:pPr>
        <w:pStyle w:val="Corps"/>
      </w:pPr>
      <w:r>
        <w:t xml:space="preserve">Les droits propres au logiciel sont cédés selon [Exploitation du logiciel], sous réserve des actes légalement permis à l'utilisateur légitime. La clause s'articule avec les droits légalement reconnus à l'utilisateur légitime, les licences de tiers et les éléments qui ne sont pas transférés.</w:t>
      </w:r>
    </w:p>
    <w:p>
      <w:pPr>
        <w:pStyle w:val="Intertitre"/>
      </w:pPr>
      <w:r>
        <w:t xml:space="preserve">Clause optionnelle : EXTRACTION ET RÉUTILISATION</w:t>
      </w:r>
    </w:p>
    <w:p>
      <w:pPr>
        <w:pStyle w:val="Corps"/>
      </w:pPr>
      <w:r>
        <w:t xml:space="preserve">Les droits du producteur sur l'extraction et la réutilisation sont cédés selon [Droits du producteur]. Le transfert distingue extractions substantielles, réutilisations, actes répétés et systématiques, structure protégée et contenu soumis à d'autres droits.</w:t>
      </w:r>
    </w:p>
    <w:p>
      <w:pPr>
        <w:pStyle w:val="Intertitre"/>
      </w:pPr>
      <w:r>
        <w:t xml:space="preserve">Clause optionnelle : DROITS SUR LES DESIGNS</w:t>
      </w:r>
    </w:p>
    <w:p>
      <w:pPr>
        <w:pStyle w:val="Corps"/>
      </w:pPr>
      <w:r>
        <w:t xml:space="preserve">Les droits sur les créations graphiques et titres identifiés sont cédés selon [Droits sur les designs]. Les droits cédés sont reliés aux créations et titres inventoriés et n'emportent aucune marque, brevet ou création ultérieure non identifiée.</w:t>
      </w:r>
    </w:p>
    <w:p>
      <w:pPr>
        <w:pStyle w:val="Intertitre"/>
      </w:pPr>
      <w:r>
        <w:t xml:space="preserve">La sous-cession ou sous-licence est-elle autorisée ? — choisir une seule variante</w:t>
      </w:r>
    </w:p>
    <w:p>
      <w:pPr>
        <w:pStyle w:val="Variante"/>
      </w:pPr>
      <w:r>
        <w:t xml:space="preserve">Variante : SOUS-CESSION ET SOUS-LICENCE AUTORISÉES</w:t>
      </w:r>
    </w:p>
    <w:p>
      <w:pPr>
        <w:pStyle w:val="Corps"/>
      </w:pPr>
      <w:r>
        <w:t xml:space="preserve">Le cessionnaire peut transmettre ou concéder les droits dans les limites [Sous-cession et sous-licence]. La clause précise les bénéficiaires, finalités, territoires, durées, garanties, obligations transmissibles et sort des sous-licences à la fin du contrat.</w:t>
      </w:r>
    </w:p>
    <w:p>
      <w:pPr>
        <w:pStyle w:val="Variante"/>
      </w:pPr>
      <w:r>
        <w:t xml:space="preserve">Variante : SOUS-CESSION ET SOUS-LICENCE ENCADRÉES</w:t>
      </w:r>
    </w:p>
    <w:p>
      <w:pPr>
        <w:pStyle w:val="Corps"/>
      </w:pPr>
      <w:r>
        <w:t xml:space="preserve">Toute transmission ultérieure respecte les conditions et restrictions [Sous-cession et sous-licence]. Les autorisations préalables, informations à fournir, critères de refus, obligations imposées au tiers et exceptions internes sont déterminés.</w:t>
      </w:r>
    </w:p>
    <w:p>
      <w:pPr>
        <w:pStyle w:val="Intertitre"/>
      </w:pPr>
      <w:r>
        <w:t xml:space="preserve">La cession est-elle totale ou partielle ? — choisir une seule variante</w:t>
      </w:r>
    </w:p>
    <w:p>
      <w:pPr>
        <w:pStyle w:val="Variante"/>
      </w:pPr>
      <w:r>
        <w:t xml:space="preserve">Variante : CESSION TOTALE DES DROITS IDENTIFIÉS</w:t>
      </w:r>
    </w:p>
    <w:p>
      <w:pPr>
        <w:pStyle w:val="Corps"/>
      </w:pPr>
      <w:r>
        <w:t xml:space="preserve">Le cédant transmet l'intégralité des droits patrimoniaux expressément énumérés, sans extension aux droits ou actifs non mentionnés. Le caractère total s'apprécie seulement pour les droits identifiés; le droit moral, les droits de tiers et les actifs exclus demeurent hors transfert.</w:t>
      </w:r>
    </w:p>
    <w:p>
      <w:pPr>
        <w:pStyle w:val="Variante"/>
      </w:pPr>
      <w:r>
        <w:t xml:space="preserve">Variante : CESSION PARTIELLE</w:t>
      </w:r>
    </w:p>
    <w:p>
      <w:pPr>
        <w:pStyle w:val="Corps"/>
      </w:pPr>
      <w:r>
        <w:t xml:space="preserve">La cession est limitée par [Périmètre de la cession partielle] ; les droits non cédés demeurent au cédant. L'annexe permet de distinguer sans ambiguïté droits transférés, droits conservés, usages partagés, exclusivités et limites techniques ou commerciales.</w:t>
      </w:r>
    </w:p>
    <w:p>
      <w:pPr>
        <w:pStyle w:val="Intertitre"/>
      </w:pPr>
      <w:r>
        <w:t xml:space="preserve">DESTINATION</w:t>
      </w:r>
    </w:p>
    <w:p>
      <w:pPr>
        <w:pStyle w:val="Corps"/>
      </w:pPr>
      <w:r>
        <w:t xml:space="preserve">Les droits sont cédés pour les destinations d'exploitation [Destinations d'exploitation]. Chaque destination est formulée concrètement par marché, produit, service, public, secteur ou finalité afin d'éviter une énumération abstraite.</w:t>
      </w:r>
    </w:p>
    <w:p>
      <w:pPr>
        <w:pStyle w:val="Intertitre"/>
      </w:pPr>
      <w:r>
        <w:t xml:space="preserve">TERRITOIRE</w:t>
      </w:r>
    </w:p>
    <w:p>
      <w:pPr>
        <w:pStyle w:val="Corps"/>
      </w:pPr>
      <w:r>
        <w:t xml:space="preserve">Le territoire d'exploitation est [Territoire]. Cette stipulation est interprétée avec l'étendue des droits, les limites d'exploitation et les obligations définies par le contrat. Les territoires numériques et physiques, ventes transfrontières, plateformes mondiales et extensions futures sont traités selon la volonté documentée des parties.</w:t>
      </w:r>
    </w:p>
    <w:p>
      <w:pPr>
        <w:pStyle w:val="Intertitre"/>
      </w:pPr>
      <w:r>
        <w:t xml:space="preserve">DURÉE</w:t>
      </w:r>
    </w:p>
    <w:p>
      <w:pPr>
        <w:pStyle w:val="Corps"/>
      </w:pPr>
      <w:r>
        <w:t xml:space="preserve">La durée et son point de départ sont [Durée]. Cette stipulation est interprétée avec l'étendue des droits, les limites d'exploitation et les obligations définies par le contrat. La durée est vérifiée pour chaque droit, titre et territoire et ne saurait excéder la période pendant laquelle le cédant peut valablement en disposer.</w:t>
      </w:r>
    </w:p>
    <w:p>
      <w:pPr>
        <w:pStyle w:val="Intertitre"/>
      </w:pPr>
      <w:r>
        <w:t xml:space="preserve">Le périmètre comporte-t-il des œuvres futures non individualisées ? — choisir une seule variante</w:t>
      </w:r>
    </w:p>
    <w:p>
      <w:pPr>
        <w:pStyle w:val="Variante"/>
      </w:pPr>
      <w:r>
        <w:t xml:space="preserve">Variante : ŒUVRES EXISTANTES ET IDENTIFIÉES</w:t>
      </w:r>
    </w:p>
    <w:p>
      <w:pPr>
        <w:pStyle w:val="Corps"/>
      </w:pPr>
      <w:r>
        <w:t xml:space="preserve">La cession porte uniquement sur les actifs existants et identifiés dans l'inventaire ; aucune cession globale d'œuvres futures n'est stipulée. Toute évolution ultérieure doit être identifiée et faire l'objet, si nécessaire, d'un acte ou mécanisme distinct conforme aux règles applicables.</w:t>
      </w:r>
    </w:p>
    <w:p>
      <w:pPr>
        <w:pStyle w:val="Variante"/>
      </w:pPr>
      <w:r>
        <w:t xml:space="preserve">Variante : CESSION GLOBALE D'ŒUVRES FUTURES À ÉCARTER</w:t>
      </w:r>
    </w:p>
    <w:p>
      <w:pPr>
        <w:pStyle w:val="Corps"/>
      </w:pPr>
      <w:r>
        <w:t xml:space="preserve">Le périmètre proposé englobe des créations futures non individualisées. Les créations futures doivent être individualisées ou traitées par un mécanisme conforme avant toute finalisation.</w:t>
      </w:r>
    </w:p>
    <w:p>
      <w:pPr>
        <w:pStyle w:val="Intertitre"/>
      </w:pPr>
      <w:r>
        <w:t xml:space="preserve">Quel régime de droit moral doit être explicité ? — choisir une seule variante</w:t>
      </w:r>
    </w:p>
    <w:p>
      <w:pPr>
        <w:pStyle w:val="Variante"/>
      </w:pPr>
      <w:r>
        <w:t xml:space="preserve">Variante : RESPECT DU DROIT MORAL</w:t>
      </w:r>
    </w:p>
    <w:p>
      <w:pPr>
        <w:pStyle w:val="Corps"/>
      </w:pPr>
      <w:r>
        <w:t xml:space="preserve">Le droit moral demeure attaché à chaque auteur. Les modalités opérationnelles sont [Droit moral] et le crédit est [Crédit de l'auteur], sans renonciation générale. Le protocole organise information, consultation, crédit, modifications et anonymat éventuel sans transformer ces modalités en renonciation générale au droit moral.</w:t>
      </w:r>
    </w:p>
    <w:p>
      <w:pPr>
        <w:pStyle w:val="Variante"/>
      </w:pPr>
      <w:r>
        <w:t xml:space="preserve">Variante : PRÉROGATIVES MORALES SUR LE LOGICIEL</w:t>
      </w:r>
    </w:p>
    <w:p>
      <w:pPr>
        <w:pStyle w:val="Corps"/>
      </w:pPr>
      <w:r>
        <w:t xml:space="preserve">Les prérogatives applicables au logiciel et les modalités de modification sont traitées par [Droit moral] sans présenter le droit moral comme cédé. Les limites propres au logiciel sont appliquées strictement et n'emportent aucune renonciation aux prérogatives qui demeurent impératives.</w:t>
      </w:r>
    </w:p>
    <w:p>
      <w:pPr>
        <w:pStyle w:val="Variante"/>
      </w:pPr>
      <w:r>
        <w:t xml:space="preserve">Variante : ABSENCE DE CESSION DE DROITS D'AUTEUR</w:t>
      </w:r>
    </w:p>
    <w:p>
      <w:pPr>
        <w:pStyle w:val="Corps"/>
      </w:pPr>
      <w:r>
        <w:t xml:space="preserve">Aucun droit patrimonial d'auteur n'est cédé dans cette branche. Le contrat n'emporte donc aucune opération sur le droit moral des auteurs et ne modifie ni leur paternité, ni l'intégrité des créations, ni les prérogatives qui leur demeurent attachées.</w:t>
      </w:r>
    </w:p>
    <w:p>
      <w:pPr>
        <w:pStyle w:val="Intertitre"/>
      </w:pPr>
      <w:r>
        <w:t xml:space="preserve">Quel régime de rémunération est retenu ? — choisir une seule variante</w:t>
      </w:r>
    </w:p>
    <w:p>
      <w:pPr>
        <w:pStyle w:val="Variante"/>
      </w:pPr>
      <w:r>
        <w:t xml:space="preserve">Variante : RÉMUNÉRATION APPROPRIÉE ET PROPORTIONNELLE</w:t>
      </w:r>
    </w:p>
    <w:p>
      <w:pPr>
        <w:pStyle w:val="Corps"/>
      </w:pPr>
      <w:r>
        <w:t xml:space="preserve">La rémunération est [Rémunération proportionnelle] ; la reddition et le contrôle sont [Reddition des comptes]. L'assiette, le taux, les déductions, la périodicité, les relevés, le droit de contrôle et le traitement des retours ou offres groupées sont définis.</w:t>
      </w:r>
    </w:p>
    <w:p>
      <w:pPr>
        <w:pStyle w:val="Variante"/>
      </w:pPr>
      <w:r>
        <w:t xml:space="preserve">Variante : RÉMUNÉRATION FORFAITAIRE POUR LOGICIEL</w:t>
      </w:r>
    </w:p>
    <w:p>
      <w:pPr>
        <w:pStyle w:val="Corps"/>
      </w:pPr>
      <w:r>
        <w:t xml:space="preserve">Le prix est [Prix de cession], la justification est [Justification du forfait] et le traitement fiscal est [Fiscalité du prix]. Le montant, l'échéancier, les taxes, la devise, les conditions de facturation et l'articulation avec les prestations techniques sont distingués.</w:t>
      </w:r>
    </w:p>
    <w:p>
      <w:pPr>
        <w:pStyle w:val="Variante"/>
      </w:pPr>
      <w:r>
        <w:t xml:space="preserve">Variante : RÉMUNÉRATION FORFAITAIRE JUSTIFIÉE</w:t>
      </w:r>
    </w:p>
    <w:p>
      <w:pPr>
        <w:pStyle w:val="Corps"/>
      </w:pPr>
      <w:r>
        <w:t xml:space="preserve">Le prix est [Prix de cession] et le cas légal ainsi que les circonstances sont [Justification du forfait] ; le traitement fiscal est [Fiscalité du prix]. Le fondement du forfait est consigné et la clause précise montant, échéancier, taxes, devise, facturation et éventuelle révision.</w:t>
      </w:r>
    </w:p>
    <w:p>
      <w:pPr>
        <w:pStyle w:val="Variante"/>
      </w:pPr>
      <w:r>
        <w:t xml:space="preserve">Variante : RÉMUNÉRATION NON DÉTERMINÉE</w:t>
      </w:r>
    </w:p>
    <w:p>
      <w:pPr>
        <w:pStyle w:val="Corps"/>
      </w:pPr>
      <w:r>
        <w:t xml:space="preserve">La rémunération ou sa méthode n'est pas suffisamment déterminée. Le montant ou une méthode de calcul objectivement déterminable doit être arrêté avant signature; aucune valeur supplétive n'est inventée.</w:t>
      </w:r>
    </w:p>
    <w:p>
      <w:pPr>
        <w:pStyle w:val="Intertitre"/>
      </w:pPr>
      <w:r>
        <w:t xml:space="preserve">PAIEMENT</w:t>
      </w:r>
    </w:p>
    <w:p>
      <w:pPr>
        <w:pStyle w:val="Corps"/>
      </w:pPr>
      <w:r>
        <w:t xml:space="preserve">Le paiement intervient selon [Échéancier]. Cette stipulation est interprétée avec l'étendue des droits, les limites d'exploitation et les obligations définies par le contrat. Les échéances, conditions préalables, factures, taxes, retenues, intérêts, coordonnées de paiement et conséquences d'un retard sont individualisés.</w:t>
      </w:r>
    </w:p>
    <w:p>
      <w:pPr>
        <w:pStyle w:val="Intertitre"/>
      </w:pPr>
      <w:r>
        <w:t xml:space="preserve">REMISE DES ACTIFS</w:t>
      </w:r>
    </w:p>
    <w:p>
      <w:pPr>
        <w:pStyle w:val="Corps"/>
      </w:pPr>
      <w:r>
        <w:t xml:space="preserve">Les livrables, formats et dates sont [Livrables]. Cette stipulation est interprétée avec l'étendue des droits, les limites d'exploitation et les obligations définies par le contrat. La remise distingue transfert juridique et livraison matérielle et prévoit un relevé des fichiers, versions, accès, secrets exclus et accusés de réception.</w:t>
      </w:r>
    </w:p>
    <w:p>
      <w:pPr>
        <w:pStyle w:val="Intertitre"/>
      </w:pPr>
      <w:r>
        <w:t xml:space="preserve">Clause optionnelle : TRANSFERT DES DÉPÔTS ET ACCÈS</w:t>
      </w:r>
    </w:p>
    <w:p>
      <w:pPr>
        <w:pStyle w:val="Corps"/>
      </w:pPr>
      <w:r>
        <w:t xml:space="preserve">Le transfert des dépôts, historiques, clés et pipelines est [Transfert des dépôts]. Les comptes, organisations, rôles, historiques, tickets, pipelines, registres, clés renouvelées et opérations de révocation sont traités dans un plan sécurisé.</w:t>
      </w:r>
    </w:p>
    <w:p>
      <w:pPr>
        <w:pStyle w:val="Intertitre"/>
      </w:pPr>
      <w:r>
        <w:t xml:space="preserve">Clause optionnelle : COMPILATION REPRODUCTIBLE</w:t>
      </w:r>
    </w:p>
    <w:p>
      <w:pPr>
        <w:pStyle w:val="Corps"/>
      </w:pPr>
      <w:r>
        <w:t xml:space="preserve">Les dépendances, outils et instructions sont [Instructions de compilation]. La procédure précise environnements, versions, dépendances, commandes, paramètres, artefacts attendus et méthode permettant de vérifier une compilation indépendante.</w:t>
      </w:r>
    </w:p>
    <w:p>
      <w:pPr>
        <w:pStyle w:val="Intertitre"/>
      </w:pPr>
      <w:r>
        <w:t xml:space="preserve">Quelle recette est prévue ? — choisir une seule variante</w:t>
      </w:r>
    </w:p>
    <w:p>
      <w:pPr>
        <w:pStyle w:val="Variante"/>
      </w:pPr>
      <w:r>
        <w:t xml:space="preserve">Variante : RECETTE</w:t>
      </w:r>
    </w:p>
    <w:p>
      <w:pPr>
        <w:pStyle w:val="Corps"/>
      </w:pPr>
      <w:r>
        <w:t xml:space="preserve">La recette et le traitement des réserves suivent [Recette]. Les critères, jeux d'essai, responsables, délais, réserves, corrections, nouvelle présentation et effets du silence sont définis sans confondre recette et titularité.</w:t>
      </w:r>
    </w:p>
    <w:p>
      <w:pPr>
        <w:pStyle w:val="Variante"/>
      </w:pPr>
      <w:r>
        <w:t xml:space="preserve">Variante : REMISE SANS RECETTE DISTINCTE</w:t>
      </w:r>
    </w:p>
    <w:p>
      <w:pPr>
        <w:pStyle w:val="Corps"/>
      </w:pPr>
      <w:r>
        <w:t xml:space="preserve">La complétude est contrôlée à la remise selon [Livrables] ; aucune conformité technique au-delà de l'inventaire n'est présumée. Le contrôle porte sur la présence, la lisibilité, les versions et les accès remis, sans garantie implicite de performance ou d'adéquation à un besoin non stipulé.</w:t>
      </w:r>
    </w:p>
    <w:p>
      <w:pPr>
        <w:pStyle w:val="Intertitre"/>
      </w:pPr>
      <w:r>
        <w:t xml:space="preserve">Clause optionnelle : ASSISTANCE À LA MIGRATION</w:t>
      </w:r>
    </w:p>
    <w:p>
      <w:pPr>
        <w:pStyle w:val="Corps"/>
      </w:pPr>
      <w:r>
        <w:t xml:space="preserve">L'assistance et ses limites sont [Assistance à la migration]. Cette stipulation est interprétée avec l'étendue des droits, les limites d'exploitation et les obligations définies par le contrat. Sont précisés les tâches, interlocuteurs, calendriers, environnements, limites, dépendances du cessionnaire, prix et critères de fin d'assistance.</w:t>
      </w:r>
    </w:p>
    <w:p>
      <w:pPr>
        <w:pStyle w:val="Intertitre"/>
      </w:pPr>
      <w:r>
        <w:t xml:space="preserve">La maintenance ou les évolutions sont-elles incluses ? — choisir une seule variante</w:t>
      </w:r>
    </w:p>
    <w:p>
      <w:pPr>
        <w:pStyle w:val="Variante"/>
      </w:pPr>
      <w:r>
        <w:t xml:space="preserve">Variante : MAINTENANCE EXCLUE</w:t>
      </w:r>
    </w:p>
    <w:p>
      <w:pPr>
        <w:pStyle w:val="Corps"/>
      </w:pPr>
      <w:r>
        <w:t xml:space="preserve">La cession n'emporte aucune maintenance ou évolution au-delà de [Maintenance et évolutions]. Les corrections, mises à jour, support, sécurité, compatibilité et adaptation postérieure restent hors cession sauf engagement séparé.</w:t>
      </w:r>
    </w:p>
    <w:p>
      <w:pPr>
        <w:pStyle w:val="Variante"/>
      </w:pPr>
      <w:r>
        <w:t xml:space="preserve">Variante : MAINTENANCE OU ÉVOLUTIONS ASSOCIÉES</w:t>
      </w:r>
    </w:p>
    <w:p>
      <w:pPr>
        <w:pStyle w:val="Corps"/>
      </w:pPr>
      <w:r>
        <w:t xml:space="preserve">Les prestations associées et leur contrat sont [Maintenance et évolutions] ; elles ne modifient pas l'inventaire des droits déjà cédés. Le périmètre, les niveaux de service, délais, responsabilités, prix, durée et propriété des évolutions sont définis par des stipulations ou un contrat distinct.</w:t>
      </w:r>
    </w:p>
    <w:p>
      <w:pPr>
        <w:pStyle w:val="Intertitre"/>
      </w:pPr>
      <w:r>
        <w:t xml:space="preserve">Quelle est la situation des données personnelles ? — choisir une seule variante</w:t>
      </w:r>
    </w:p>
    <w:p>
      <w:pPr>
        <w:pStyle w:val="Variante"/>
      </w:pPr>
      <w:r>
        <w:t xml:space="preserve">Variante : ABSENCE DE DONNÉE PERSONNELLE TRANSFÉRÉE</w:t>
      </w:r>
    </w:p>
    <w:p>
      <w:pPr>
        <w:pStyle w:val="Corps"/>
      </w:pPr>
      <w:r>
        <w:t xml:space="preserve">Les données personnelles sont exclues des livrables ou préalablement supprimées selon l'inventaire vérifié. La méthode de suppression ou d'anonymisation, son responsable et sa preuve sont conservés lorsque les actifs contenaient initialement de telles données.</w:t>
      </w:r>
    </w:p>
    <w:p>
      <w:pPr>
        <w:pStyle w:val="Variante"/>
      </w:pPr>
      <w:r>
        <w:t xml:space="preserve">Variante : DONNÉES PERSONNELLES SOUS RÉGIME DISTINCT</w:t>
      </w:r>
    </w:p>
    <w:p>
      <w:pPr>
        <w:pStyle w:val="Corps"/>
      </w:pPr>
      <w:r>
        <w:t xml:space="preserve">Le périmètre des données est [Données personnelles] et le dispositif de migration ou de transfert est [Dispositif de transfert des données] ; la cession de droits ne vaut pas base de licéité. Les rôles, finalités, bases, informations, durées, mesures de sécurité, transferts internationaux et responsabilités sont définis dans un dispositif séparé adapté.</w:t>
      </w:r>
    </w:p>
    <w:p>
      <w:pPr>
        <w:pStyle w:val="Variante"/>
      </w:pPr>
      <w:r>
        <w:t xml:space="preserve">Variante : DONNÉES PERSONNELLES NON QUALIFIÉES</w:t>
      </w:r>
    </w:p>
    <w:p>
      <w:pPr>
        <w:pStyle w:val="Corps"/>
      </w:pPr>
      <w:r>
        <w:t xml:space="preserve">La base contient des données personnelles sans rôle, base, information ou dispositif de transfert établi. Les catégories, personnes, finalités, durées et modalités de migration doivent être qualifiées avant la remise.</w:t>
      </w:r>
    </w:p>
    <w:p>
      <w:pPr>
        <w:pStyle w:val="Intertitre"/>
      </w:pPr>
      <w:r>
        <w:t xml:space="preserve">TITULARITÉ ET POUVOIR DE CÉDER</w:t>
      </w:r>
    </w:p>
    <w:p>
      <w:pPr>
        <w:pStyle w:val="Corps"/>
      </w:pPr>
      <w:r>
        <w:t xml:space="preserve">Le cédant garantit selon [Garantie de titularité] et produit la chaîne de titularité annexée. La garantie est limitée aux actifs et droits inventoriés et s'appuie sur les actes, statuts, contrats de travail, commandes et cessions antérieures annexés.</w:t>
      </w:r>
    </w:p>
    <w:p>
      <w:pPr>
        <w:pStyle w:val="Intertitre"/>
      </w:pPr>
      <w:r>
        <w:t xml:space="preserve">GARANTIE D'ÉVICTION</w:t>
      </w:r>
    </w:p>
    <w:p>
      <w:pPr>
        <w:pStyle w:val="Corps"/>
      </w:pPr>
      <w:r>
        <w:t xml:space="preserve">L'absence d'atteinte et la défense des réclamations sont encadrées par [Garantie d'éviction] et [Procédure de réclamation]. La notification, la conduite de la défense, la coopération, les transactions, mesures correctives et conséquences financières d'une réclamation sont organisées.</w:t>
      </w:r>
    </w:p>
    <w:p>
      <w:pPr>
        <w:pStyle w:val="Intertitre"/>
      </w:pPr>
      <w:r>
        <w:t xml:space="preserve">Existe-t-il un litige ou une réclamation ? — choisir une seule variante</w:t>
      </w:r>
    </w:p>
    <w:p>
      <w:pPr>
        <w:pStyle w:val="Variante"/>
      </w:pPr>
      <w:r>
        <w:t xml:space="preserve">Variante : ABSENCE DE LITIGE DÉCLARÉ</w:t>
      </w:r>
    </w:p>
    <w:p>
      <w:pPr>
        <w:pStyle w:val="Corps"/>
      </w:pPr>
      <w:r>
        <w:t xml:space="preserve">Aucun litige, opposition ou réclamation relatif aux actifs n'est déclaré dans la situation vérifiée. Cette déclaration est arrêtée à une date identifiée et couvre les mises en demeure, oppositions, audits, procédures et menaces écrites vérifiées.</w:t>
      </w:r>
    </w:p>
    <w:p>
      <w:pPr>
        <w:pStyle w:val="Variante"/>
      </w:pPr>
      <w:r>
        <w:t xml:space="preserve">Variante : LITIGES ET RÉCLAMATIONS</w:t>
      </w:r>
    </w:p>
    <w:p>
      <w:pPr>
        <w:pStyle w:val="Corps"/>
      </w:pPr>
      <w:r>
        <w:t xml:space="preserve">Les litiges, oppositions, audits et risques connus sont [Litiges et réclamations]. Chaque affaire est décrite par parties, objet, actifs concernés, état, risque, conseil, mesures prises et incidence sur le transfert.</w:t>
      </w:r>
    </w:p>
    <w:p>
      <w:pPr>
        <w:pStyle w:val="Intertitre"/>
      </w:pPr>
      <w:r>
        <w:t xml:space="preserve">Existe-t-il une charge ou restriction sur les droits ? — choisir une seule variante</w:t>
      </w:r>
    </w:p>
    <w:p>
      <w:pPr>
        <w:pStyle w:val="Variante"/>
      </w:pPr>
      <w:r>
        <w:t xml:space="preserve">Variante : DROITS LIBRES DE CHARGE DÉCLARÉE</w:t>
      </w:r>
    </w:p>
    <w:p>
      <w:pPr>
        <w:pStyle w:val="Corps"/>
      </w:pPr>
      <w:r>
        <w:t xml:space="preserve">Aucune licence, sûreté, option ou exclusivité incompatible n'est déclarée après contrôle. Cette déclaration est rapprochée des contrats, registres et engagements connus et ne vaut pas effacement d'un droit de tiers non valablement traité.</w:t>
      </w:r>
    </w:p>
    <w:p>
      <w:pPr>
        <w:pStyle w:val="Variante"/>
      </w:pPr>
      <w:r>
        <w:t xml:space="preserve">Variante : LICENCES, SÛRETÉS ET RESTRICTIONS</w:t>
      </w:r>
    </w:p>
    <w:p>
      <w:pPr>
        <w:pStyle w:val="Corps"/>
      </w:pPr>
      <w:r>
        <w:t xml:space="preserve">Les charges et restrictions existantes sont [Charges sur les droits] et leur compatibilité avec la cession est documentée. La clause précise bénéficiaire, actif, territoire, durée, exclusivité, consentement requis, survie et mesure permettant de rendre la cession compatible.</w:t>
      </w:r>
    </w:p>
    <w:p>
      <w:pPr>
        <w:pStyle w:val="Intertitre"/>
      </w:pPr>
      <w:r>
        <w:t xml:space="preserve">Clause optionnelle : SÉCURITÉ DU CODE ET DES LIVRABLES</w:t>
      </w:r>
    </w:p>
    <w:p>
      <w:pPr>
        <w:pStyle w:val="Corps"/>
      </w:pPr>
      <w:r>
        <w:t xml:space="preserve">Les contrôles relatifs aux secrets, vulnérabilités, logiciels malveillants et dépendances sont [Sécurité du code]. Le niveau d'assurance, les analyses réalisées, les exceptions, les secrets retirés, les vulnérabilités connues et le processus de notification sont documentés.</w:t>
      </w:r>
    </w:p>
    <w:p>
      <w:pPr>
        <w:pStyle w:val="Intertitre"/>
      </w:pPr>
      <w:r>
        <w:t xml:space="preserve">Clause optionnelle : INDEMNISATION</w:t>
      </w:r>
    </w:p>
    <w:p>
      <w:pPr>
        <w:pStyle w:val="Corps"/>
      </w:pPr>
      <w:r>
        <w:t xml:space="preserve">L'indemnisation convenue est délimitée par [Indemnisation]. La clause précise faits générateurs, dommages couverts, exclusions, seuils, plafonds, procédure de réclamation, défense, transaction et obligation de réduction du préjudice.</w:t>
      </w:r>
    </w:p>
    <w:p>
      <w:pPr>
        <w:pStyle w:val="Intertitre"/>
      </w:pPr>
      <w:r>
        <w:t xml:space="preserve">La responsabilité est-elle plafonnée ? — choisir une seule variante</w:t>
      </w:r>
    </w:p>
    <w:p>
      <w:pPr>
        <w:pStyle w:val="Variante"/>
      </w:pPr>
      <w:r>
        <w:t xml:space="preserve">Variante : PLAFOND DE RESPONSABILITÉ</w:t>
      </w:r>
    </w:p>
    <w:p>
      <w:pPr>
        <w:pStyle w:val="Corps"/>
      </w:pPr>
      <w:r>
        <w:t xml:space="preserve">Le plafond et ses exceptions sont [Plafond de responsabilité]. Cette stipulation est interprétée avec l'étendue des droits, les limites d'exploitation et les obligations définies par le contrat. Le plafond, sa période, son assiette et ses exclusions sont articulés avec les garanties de titularité, confidentialité, données, fraude et règles impératives.</w:t>
      </w:r>
    </w:p>
    <w:p>
      <w:pPr>
        <w:pStyle w:val="Variante"/>
      </w:pPr>
      <w:r>
        <w:t xml:space="preserve">Variante : ABSENCE DE PLAFOND CONVENTIONNEL</w:t>
      </w:r>
    </w:p>
    <w:p>
      <w:pPr>
        <w:pStyle w:val="Corps"/>
      </w:pPr>
      <w:r>
        <w:t xml:space="preserve">Aucun plafond conventionnel n'est stipulé pour les obligations identifiées ; les règles impératives demeurent applicables. L'absence de plafond n'écarte ni le lien causal, ni la preuve du dommage, ni les exclusions ou limitations résultant des règles impératives.</w:t>
      </w:r>
    </w:p>
    <w:p>
      <w:pPr>
        <w:pStyle w:val="Intertitre"/>
      </w:pPr>
      <w:r>
        <w:t xml:space="preserve">Clause optionnelle : CONFIDENTIALITÉ</w:t>
      </w:r>
    </w:p>
    <w:p>
      <w:pPr>
        <w:pStyle w:val="Corps"/>
      </w:pPr>
      <w:r>
        <w:t xml:space="preserve">Les informations confidentielles et les personnes autorisées sont [Informations confidentielles] ; la durée est [Durée de confidentialité]. La clause définit informations protégées, exclusions, destinataires autorisés, sécurité, divulgations obligatoires, restitution, destruction et obligations survivantes.</w:t>
      </w:r>
    </w:p>
    <w:p>
      <w:pPr>
        <w:pStyle w:val="Intertitre"/>
      </w:pPr>
      <w:r>
        <w:t xml:space="preserve">Clause optionnelle : AUCUNE INSCRIPTION SUR TITRE IDENTIFIÉE</w:t>
      </w:r>
    </w:p>
    <w:p>
      <w:pPr>
        <w:pStyle w:val="Corps"/>
      </w:pPr>
      <w:r>
        <w:t xml:space="preserve">Aucun dessin ou modèle enregistré ne nécessite une inscription de transfert dans le périmètre vérifié. Cette conclusion est limitée aux titres et territoires inventoriés et doit être réexaminée si un enregistrement ou une extension est identifié.</w:t>
      </w:r>
    </w:p>
    <w:p>
      <w:pPr>
        <w:pStyle w:val="Intertitre"/>
      </w:pPr>
      <w:r>
        <w:t xml:space="preserve">Clause optionnelle : FORMALITÉS D'INSCRIPTION</w:t>
      </w:r>
    </w:p>
    <w:p>
      <w:pPr>
        <w:pStyle w:val="Corps"/>
      </w:pPr>
      <w:r>
        <w:t xml:space="preserve">Les formalités, offices, pièces, pouvoirs et coûts sont [Formalités d'inscription]. Le responsable, les délais, formulaires, signatures, traductions, légalisations, taxes, preuves de dépôt et coopération postérieure sont répartis entre les parties.</w:t>
      </w:r>
    </w:p>
    <w:p>
      <w:pPr>
        <w:pStyle w:val="Intertitre"/>
      </w:pPr>
      <w:r>
        <w:t xml:space="preserve">INEXÉCUTION ET EFFETS</w:t>
      </w:r>
    </w:p>
    <w:p>
      <w:pPr>
        <w:pStyle w:val="Corps"/>
      </w:pPr>
      <w:r>
        <w:t xml:space="preserve">Les sanctions et effets sur les droits, copies, prix, données et obligations survivantes sont [Effets de la résolution]. La clause distingue résolution, résiliation et survie du transfert déjà intervenu et traite les copies, accès, données, prix, licences tierces et obligations survivantes.</w:t>
      </w:r>
    </w:p>
    <w:p>
      <w:pPr>
        <w:pStyle w:val="Intertitre"/>
      </w:pPr>
      <w:r>
        <w:t xml:space="preserve">NOTIFICATIONS</w:t>
      </w:r>
    </w:p>
    <w:p>
      <w:pPr>
        <w:pStyle w:val="Corps"/>
      </w:pPr>
      <w:r>
        <w:t xml:space="preserve">Les notifications sont valablement adressées selon [Notifications]. Les adresses, destinataires, canaux, formes, dates de réception, changements de coordonnées et notifications urgentes sont définis sans valeur préremplie.</w:t>
      </w:r>
    </w:p>
    <w:p>
      <w:pPr>
        <w:pStyle w:val="Intertitre"/>
      </w:pPr>
      <w:r>
        <w:t xml:space="preserve">DROIT APPLICABLE</w:t>
      </w:r>
    </w:p>
    <w:p>
      <w:pPr>
        <w:pStyle w:val="Corps"/>
      </w:pPr>
      <w:r>
        <w:t xml:space="preserve">Le contrat est régi par [Droit applicable]. Cette stipulation est interprétée avec l'étendue des droits, les limites d'exploitation et les obligations définies par le contrat. Le choix est vérifié avec les règles impératives, la localisation des titres, les formalités étrangères et les dispositions qui demeurent applicables indépendamment du contrat.</w:t>
      </w:r>
    </w:p>
    <w:p>
      <w:pPr>
        <w:pStyle w:val="Intertitre"/>
      </w:pPr>
      <w:r>
        <w:t xml:space="preserve">RÈGLEMENT DES DIFFÉRENDS</w:t>
      </w:r>
    </w:p>
    <w:p>
      <w:pPr>
        <w:pStyle w:val="Corps"/>
      </w:pPr>
      <w:r>
        <w:t xml:space="preserve">Les différends sont traités selon [Règlement des différends]. Cette stipulation est interprétée avec l'étendue des droits, les limites d'exploitation et les obligations définies par le contrat. La négociation, médiation éventuelle, juridiction ou arbitrage, siège, langue, mesures urgentes et notification du différend sont précisés de façon cohérente.</w:t>
      </w:r>
    </w:p>
    <w:p>
      <w:pPr>
        <w:pStyle w:val="Intertitre"/>
      </w:pPr>
      <w:r>
        <w:t xml:space="preserve">ANNEXES</w:t>
      </w:r>
    </w:p>
    <w:p>
      <w:pPr>
        <w:pStyle w:val="Corps"/>
      </w:pPr>
      <w:r>
        <w:t xml:space="preserve">Les inventaires, versions, titres, composants, licences, preuves et livrables sont numérotés dans [Liste des annexes]. Chaque annexe reçoit un numéro, un titre, une date, une version, un auteur, un statut de signature et un lien explicite avec la clause correspondante.</w:t>
      </w:r>
    </w:p>
    <w:p>
      <w:pPr>
        <w:pStyle w:val="Intertitre"/>
      </w:pPr>
      <w:r>
        <w:t xml:space="preserve">Quelle est la situation des signatures ? — choisir une seule variante</w:t>
      </w:r>
    </w:p>
    <w:p>
      <w:pPr>
        <w:pStyle w:val="Variante"/>
      </w:pPr>
      <w:r>
        <w:t xml:space="preserve">Variante : SIGNATURES À RECUEILLIR</w:t>
      </w:r>
    </w:p>
    <w:p>
      <w:pPr>
        <w:pStyle w:val="Corps"/>
      </w:pPr>
      <w:r>
        <w:t xml:space="preserve">À ce stade de projet, aucune signature n'est présentée comme acquise. Le document demeure modifiable et ne doit pas être présenté comme une cession conclue, un reçu de livraison ou une autorisation d'exploitation.</w:t>
      </w:r>
    </w:p>
    <w:p>
      <w:pPr>
        <w:pStyle w:val="Variante"/>
      </w:pPr>
      <w:r>
        <w:t xml:space="preserve">Variante : SIGNATURES DES PARTIES</w:t>
      </w:r>
    </w:p>
    <w:p>
      <w:pPr>
        <w:pStyle w:val="Corps"/>
      </w:pPr>
      <w:r>
        <w:t xml:space="preserve">Le cédant signe selon [Signature du cédant] et le cessionnaire selon [Signature du cessionnaire]. Les parties signent le même texte et le même jeu d'annexes; le lieu, la date, la qualité, le pouvoir et le mode de signature sont conservés.</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