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Mention"/>
      </w:pPr>
      <w:r>
        <w:t xml:space="preserve">Trame de travail — à relire et à adapter à l'espèce avant tout usage. Ce document n'est ni un conseil juridique ni une trame validée pour un dossier particulier. Les mentions entre crochets sont à compléter ; dans LegalProd, elles se remplissent depuis la fiche du dossier client.</w:t>
      </w:r>
    </w:p>
    <w:p>
      <w:pPr>
        <w:pStyle w:val="Titre"/>
      </w:pPr>
      <w:r>
        <w:t xml:space="preserve">CONTRAT DE CESSION OU DE LICENCE DE BREVET</w:t>
      </w:r>
    </w:p>
    <w:p>
      <w:pPr>
        <w:pStyle w:val="Intertitre"/>
      </w:pPr>
      <w:r>
        <w:t xml:space="preserve">Quel est le stade du contrat ? — choisir une seule variante</w:t>
      </w:r>
    </w:p>
    <w:p>
      <w:pPr>
        <w:pStyle w:val="Variante"/>
      </w:pPr>
      <w:r>
        <w:t xml:space="preserve">Variante : PROJET DE CONTRAT</w:t>
      </w:r>
    </w:p>
    <w:p>
      <w:pPr>
        <w:pStyle w:val="Corps"/>
      </w:pPr>
      <w:r>
        <w:t xml:space="preserve">Projet référencé [Référence du contrat] ; aucune signature ni inscription n'est présentée comme acquise.</w:t>
      </w:r>
    </w:p>
    <w:p>
      <w:pPr>
        <w:pStyle w:val="Corps"/>
      </w:pPr>
      <w:r>
        <w:t xml:space="preserve">Les mentions de remise, d'inscription et d'exploitation restent au futur ou au conditionnel. Le projet ne produit aucun effet avant les signatures et conditions expressément requises.</w:t>
      </w:r>
    </w:p>
    <w:p>
      <w:pPr>
        <w:pStyle w:val="Variante"/>
      </w:pPr>
      <w:r>
        <w:t xml:space="preserve">Variante : CONTRAT PRÊT À SIGNER</w:t>
      </w:r>
    </w:p>
    <w:p>
      <w:pPr>
        <w:pStyle w:val="Corps"/>
      </w:pPr>
      <w:r>
        <w:t xml:space="preserve">Les titres, parties, pouvoirs, conditions économiques, annexes et formalités ont été contrôlés.</w:t>
      </w:r>
    </w:p>
    <w:p>
      <w:pPr>
        <w:pStyle w:val="Corps"/>
      </w:pPr>
      <w:r>
        <w:t xml:space="preserve">La complétude documentaire autorise la circulation pour signature, mais ne prouve ni consentement définitif ni inscription. Toute modification ultérieure impose un nouveau contrôle de version.</w:t>
      </w:r>
    </w:p>
    <w:p>
      <w:pPr>
        <w:pStyle w:val="Variante"/>
      </w:pPr>
      <w:r>
        <w:t xml:space="preserve">Variante : CONTRAT SIGNÉ</w:t>
      </w:r>
    </w:p>
    <w:p>
      <w:pPr>
        <w:pStyle w:val="Corps"/>
      </w:pPr>
      <w:r>
        <w:t xml:space="preserve">Le contrat a été signé par les parties identifiées ; sa date d'effet est [Date d'effet].</w:t>
      </w:r>
    </w:p>
    <w:p>
      <w:pPr>
        <w:pStyle w:val="Corps"/>
      </w:pPr>
      <w:r>
        <w:t xml:space="preserve">La preuve porte sur le texte intégral et le même jeu d'annexes pour chaque signataire. La signature n'établit pas à elle seule la réalisation des conditions de prise d'effet.</w:t>
      </w:r>
    </w:p>
    <w:p>
      <w:pPr>
        <w:pStyle w:val="Variante"/>
      </w:pPr>
      <w:r>
        <w:t xml:space="preserve">Variante : CONTRAT EN VIGUEUR</w:t>
      </w:r>
    </w:p>
    <w:p>
      <w:pPr>
        <w:pStyle w:val="Corps"/>
      </w:pPr>
      <w:r>
        <w:t xml:space="preserve">Le contrat produit effet depuis [Date d'effet], sous réserve des formalités d'opposabilité.</w:t>
      </w:r>
    </w:p>
    <w:p>
      <w:pPr>
        <w:pStyle w:val="Corps"/>
      </w:pPr>
      <w:r>
        <w:t xml:space="preserve">La date d'effet est rapprochée des conditions, paiements et remises prévus. Les formalités d'opposabilité restent suivies séparément jusqu'à leur preuve officielle.</w:t>
      </w:r>
    </w:p>
    <w:p>
      <w:pPr>
        <w:pStyle w:val="Intertitre"/>
      </w:pPr>
      <w:r>
        <w:t xml:space="preserve">CONTRAT DE CESSION OU DE LICENCE DE BREVET</w:t>
      </w:r>
    </w:p>
    <w:p>
      <w:pPr>
        <w:pStyle w:val="Corps"/>
      </w:pPr>
      <w:r>
        <w:t xml:space="preserve">Le présent contrat organise exclusivement l'opération choisie et les titres identifiés en annexe.</w:t>
      </w:r>
    </w:p>
    <w:p>
      <w:pPr>
        <w:pStyle w:val="Corps"/>
      </w:pPr>
      <w:r>
        <w:t xml:space="preserve">L'opération, sa nature et son stade sont interprétés avec les annexes d'identification des titres; aucune cession ou licence n'est étendue à un droit qui n'y figure pas.</w:t>
      </w:r>
    </w:p>
    <w:p>
      <w:pPr>
        <w:pStyle w:val="Intertitre"/>
      </w:pPr>
      <w:r>
        <w:t xml:space="preserve">CÉDANT OU DONNEUR DE LICENCE</w:t>
      </w:r>
    </w:p>
    <w:p>
      <w:pPr>
        <w:pStyle w:val="Corps"/>
      </w:pPr>
      <w:r>
        <w:t xml:space="preserve">La partie disposant des droits est [Identite du cédant ou donneur de licence], représentée par [Representant du cédant ou donneur de licence].</w:t>
      </w:r>
    </w:p>
    <w:p>
      <w:pPr>
        <w:pStyle w:val="Corps"/>
      </w:pPr>
      <w:r>
        <w:t xml:space="preserve">Ses pièces établissent son identité, son pouvoir de disposer et sa concordance avec le titulaire inscrit. Une discordance de dénomination ou de chaîne doit être résolue avant signature.</w:t>
      </w:r>
    </w:p>
    <w:p>
      <w:pPr>
        <w:pStyle w:val="Intertitre"/>
      </w:pPr>
      <w:r>
        <w:t xml:space="preserve">CESSIONNAIRE OU LICENCIÉ</w:t>
      </w:r>
    </w:p>
    <w:p>
      <w:pPr>
        <w:pStyle w:val="Corps"/>
      </w:pPr>
      <w:r>
        <w:t xml:space="preserve">Le bénéficiaire est [Identite du cessionnaire ou licencié], représenté par [Representant du cessionnaire ou licencié]. Cette stipulation est interprétée avec l'étendue des droits, les limites d'exploitation et les obligations définies par le contrat.</w:t>
      </w:r>
    </w:p>
    <w:p>
      <w:pPr>
        <w:pStyle w:val="Corps"/>
      </w:pPr>
      <w:r>
        <w:t xml:space="preserve">Ses pièces établissent son identité, sa capacité et le pouvoir du représentant. Le bénéficiaire contractuel doit correspondre à celui désigné pour l'inscription et les paiements.</w:t>
      </w:r>
    </w:p>
    <w:p>
      <w:pPr>
        <w:pStyle w:val="Intertitre"/>
      </w:pPr>
      <w:r>
        <w:t xml:space="preserve">CAPACITÉ ET POUVOIRS</w:t>
      </w:r>
    </w:p>
    <w:p>
      <w:pPr>
        <w:pStyle w:val="Corps"/>
      </w:pPr>
      <w:r>
        <w:t xml:space="preserve">Les pouvoirs des signataires sont établis par [Pouvoirs].</w:t>
      </w:r>
    </w:p>
    <w:p>
      <w:pPr>
        <w:pStyle w:val="Corps"/>
      </w:pPr>
      <w:r>
        <w:t xml:space="preserve">Chaque délégation précise son auteur, sa durée et l'opération couverte. Un pouvoir général imprécis ou expiré ne suffit pas pour signer ou accomplir une formalité au registre.</w:t>
      </w:r>
    </w:p>
    <w:p>
      <w:pPr>
        <w:pStyle w:val="Intertitre"/>
      </w:pPr>
      <w:r>
        <w:t xml:space="preserve">PRÉAMBULE</w:t>
      </w:r>
    </w:p>
    <w:p>
      <w:pPr>
        <w:pStyle w:val="Corps"/>
      </w:pPr>
      <w:r>
        <w:t xml:space="preserve">L'opération s'inscrit dans le contexte vérifié suivant : [Contexte de l'opération]. Le préambule ne remplace ni l'identification des titres ni la chaîne de titularité.</w:t>
      </w:r>
    </w:p>
    <w:p>
      <w:pPr>
        <w:pStyle w:val="Corps"/>
      </w:pPr>
      <w:r>
        <w:t xml:space="preserve">Le préambule expose l'origine des titres, l'objectif économique et les vérifications déterminantes du consentement. Il ne transforme aucune déclaration de contexte en garantie non stipulée.</w:t>
      </w:r>
    </w:p>
    <w:p>
      <w:pPr>
        <w:pStyle w:val="Intertitre"/>
      </w:pPr>
      <w:r>
        <w:t xml:space="preserve">DÉFINITIONS</w:t>
      </w:r>
    </w:p>
    <w:p>
      <w:pPr>
        <w:pStyle w:val="Corps"/>
      </w:pPr>
      <w:r>
        <w:t xml:space="preserve">Les termes Titre, Demande, Brevet, Produits, Territoire, Domaine, Redevances, Savoir-faire et Perfectionnements ont le sens précis donné par les clauses et annexes applicables.</w:t>
      </w:r>
    </w:p>
    <w:p>
      <w:pPr>
        <w:pStyle w:val="Corps"/>
      </w:pPr>
      <w:r>
        <w:t xml:space="preserve">Chaque terme défini conserve le même sens dans le corps et les annexes. Une définition ne peut élargir silencieusement le territoire, les titres ou les actes d'exploitation convenus.</w:t>
      </w:r>
    </w:p>
    <w:p>
      <w:pPr>
        <w:pStyle w:val="Intertitre"/>
      </w:pPr>
      <w:r>
        <w:t xml:space="preserve">Quel ensemble de titres est concerne ? — choisir une seule variante</w:t>
      </w:r>
    </w:p>
    <w:p>
      <w:pPr>
        <w:pStyle w:val="Variante"/>
      </w:pPr>
      <w:r>
        <w:t xml:space="preserve">Variante : TITRE UNIQUE</w:t>
      </w:r>
    </w:p>
    <w:p>
      <w:pPr>
        <w:pStyle w:val="Corps"/>
      </w:pPr>
      <w:r>
        <w:t xml:space="preserve">Le titre concerné est identifié par [Liste des titres] et [Données de priorite].</w:t>
      </w:r>
    </w:p>
    <w:p>
      <w:pPr>
        <w:pStyle w:val="Corps"/>
      </w:pPr>
      <w:r>
        <w:t xml:space="preserve">L'annexe rapproche le numéro, la date, le titulaire, le statut, les revendications et le dernier événement de registre. Les données proviennent d'un relevé daté.</w:t>
      </w:r>
    </w:p>
    <w:p>
      <w:pPr>
        <w:pStyle w:val="Variante"/>
      </w:pPr>
      <w:r>
        <w:t xml:space="preserve">Variante : FAMILLE DE BREVETS</w:t>
      </w:r>
    </w:p>
    <w:p>
      <w:pPr>
        <w:pStyle w:val="Corps"/>
      </w:pPr>
      <w:r>
        <w:t xml:space="preserve">La famille, ses priorités, membres, statuts et territoires sont identifiés dans [Liste des titres] et [Données de priorite].</w:t>
      </w:r>
    </w:p>
    <w:p>
      <w:pPr>
        <w:pStyle w:val="Corps"/>
      </w:pPr>
      <w:r>
        <w:t xml:space="preserve">Le lien de priorité et les membres nationaux sont présentés séparément afin qu'aucun effet territorial ne soit déduit de la seule appartenance à une famille.</w:t>
      </w:r>
    </w:p>
    <w:p>
      <w:pPr>
        <w:pStyle w:val="Variante"/>
      </w:pPr>
      <w:r>
        <w:t xml:space="preserve">Variante : PORTEFEUILLE DE TITRES</w:t>
      </w:r>
    </w:p>
    <w:p>
      <w:pPr>
        <w:pStyle w:val="Corps"/>
      </w:pPr>
      <w:r>
        <w:t xml:space="preserve">Chaque demande et brevet du portefeuille est individualisé dans [Liste des titres] et [Données de priorite].</w:t>
      </w:r>
    </w:p>
    <w:p>
      <w:pPr>
        <w:pStyle w:val="Corps"/>
      </w:pPr>
      <w:r>
        <w:t xml:space="preserve">Chaque ligne du portefeuille peut être incluse ou exclue sans ambiguïté. Les statuts, annuités, charges et inscriptions sont vérifiés titre par titre.</w:t>
      </w:r>
    </w:p>
    <w:p>
      <w:pPr>
        <w:pStyle w:val="Intertitre"/>
      </w:pPr>
      <w:r>
        <w:t xml:space="preserve">Quel est le stade du titre ? — choisir une seule variante</w:t>
      </w:r>
    </w:p>
    <w:p>
      <w:pPr>
        <w:pStyle w:val="Variante"/>
      </w:pPr>
      <w:r>
        <w:t xml:space="preserve">Variante : DEMANDE DE BREVET EN COURS</w:t>
      </w:r>
    </w:p>
    <w:p>
      <w:pPr>
        <w:pStyle w:val="Corps"/>
      </w:pPr>
      <w:r>
        <w:t xml:space="preserve">La demande, son office, son numéro, sa date et ses priorités figurent dans [Liste des demandes]. La conduite de la procédure demeure distincte de la portée d'un brevet délivré.</w:t>
      </w:r>
    </w:p>
    <w:p>
      <w:pPr>
        <w:pStyle w:val="Corps"/>
      </w:pPr>
      <w:r>
        <w:t xml:space="preserve">La portée reste celle d'une demande en cours et peut évoluer pendant l'examen. Les décisions de procédure, divisions et validations sont attribuées explicitement.</w:t>
      </w:r>
    </w:p>
    <w:p>
      <w:pPr>
        <w:pStyle w:val="Variante"/>
      </w:pPr>
      <w:r>
        <w:t xml:space="preserve">Variante : BREVET DÉLIVRÉ</w:t>
      </w:r>
    </w:p>
    <w:p>
      <w:pPr>
        <w:pStyle w:val="Corps"/>
      </w:pPr>
      <w:r>
        <w:t xml:space="preserve">Le brevet délivré, ses revendications, son statut et ses annuités figurent dans [Liste des titres].</w:t>
      </w:r>
    </w:p>
    <w:p>
      <w:pPr>
        <w:pStyle w:val="Corps"/>
      </w:pPr>
      <w:r>
        <w:t xml:space="preserve">L'annexe reproduit le statut de délivrance, les revendications pertinentes et les échéances d'annuités. Aucun maintien en vigueur n'est présumé sans relevé actuel.</w:t>
      </w:r>
    </w:p>
    <w:p>
      <w:pPr>
        <w:pStyle w:val="Variante"/>
      </w:pPr>
      <w:r>
        <w:t xml:space="preserve">Variante : TITRE EXPIRÉ OU DÉCHU</w:t>
      </w:r>
    </w:p>
    <w:p>
      <w:pPr>
        <w:pStyle w:val="Corps"/>
      </w:pPr>
      <w:r>
        <w:t xml:space="preserve">Le titre ne peut pas être présenté comme conférant un droit exclusif actuel ; l'export est bloqué jusqu'à requalification de l'opération.</w:t>
      </w:r>
    </w:p>
    <w:p>
      <w:pPr>
        <w:pStyle w:val="Corps"/>
      </w:pPr>
      <w:r>
        <w:t xml:space="preserve">La branche empêche de facturer ou concéder une exclusivité disparue. Un savoir-faire ou des droits distincts doivent faire l'objet d'un périmètre autonome.</w:t>
      </w:r>
    </w:p>
    <w:p>
      <w:pPr>
        <w:pStyle w:val="Intertitre"/>
      </w:pPr>
      <w:r>
        <w:t xml:space="preserve">Quel systeme territorial est concerne ? — choisir une seule variante</w:t>
      </w:r>
    </w:p>
    <w:p>
      <w:pPr>
        <w:pStyle w:val="Variante"/>
      </w:pPr>
      <w:r>
        <w:t xml:space="preserve">Variante : TITRE FRANÇAIS</w:t>
      </w:r>
    </w:p>
    <w:p>
      <w:pPr>
        <w:pStyle w:val="Corps"/>
      </w:pPr>
      <w:r>
        <w:t xml:space="preserve">L'opération porte sur les droits français identifiés dans [Liste des titres].</w:t>
      </w:r>
    </w:p>
    <w:p>
      <w:pPr>
        <w:pStyle w:val="Corps"/>
      </w:pPr>
      <w:r>
        <w:t xml:space="preserve">La portée est limitée au titre français et aux actes réalisés sur son territoire d'effet. Les usages hors de France ne sont pas autorisés implicitement.</w:t>
      </w:r>
    </w:p>
    <w:p>
      <w:pPr>
        <w:pStyle w:val="Variante"/>
      </w:pPr>
      <w:r>
        <w:t xml:space="preserve">Variante : BREVET EUROPÉEN</w:t>
      </w:r>
    </w:p>
    <w:p>
      <w:pPr>
        <w:pStyle w:val="Corps"/>
      </w:pPr>
      <w:r>
        <w:t xml:space="preserve">Les États valides, statuts et formalités nationales sont identifiés dans [Liste des titres] et [Formalités hors de France].</w:t>
      </w:r>
    </w:p>
    <w:p>
      <w:pPr>
        <w:pStyle w:val="Corps"/>
      </w:pPr>
      <w:r>
        <w:t xml:space="preserve">Chaque validation nationale ou effet unitaire est identifié avec son statut propre. Les formalités et compétences applicables sont contrôlées pour chaque État concerné.</w:t>
      </w:r>
    </w:p>
    <w:p>
      <w:pPr>
        <w:pStyle w:val="Variante"/>
      </w:pPr>
      <w:r>
        <w:t xml:space="preserve">Variante : PORTEFEUILLE MULTITERRITORIAL</w:t>
      </w:r>
    </w:p>
    <w:p>
      <w:pPr>
        <w:pStyle w:val="Corps"/>
      </w:pPr>
      <w:r>
        <w:t xml:space="preserve">Chaque titre, office, pays, statut et formalité est individualisé dans [Liste des titres] et [Formalités hors de France].</w:t>
      </w:r>
    </w:p>
    <w:p>
      <w:pPr>
        <w:pStyle w:val="Corps"/>
      </w:pPr>
      <w:r>
        <w:t xml:space="preserve">Le tableau territorial interdit de confondre demande internationale, phase régionale et droits nationaux. Chaque office et chaque représentant reçoivent une instruction distincte.</w:t>
      </w:r>
    </w:p>
    <w:p>
      <w:pPr>
        <w:pStyle w:val="Intertitre"/>
      </w:pPr>
      <w:r>
        <w:t xml:space="preserve">Quelle chaine de titularite est applicable ? — choisir une seule variante</w:t>
      </w:r>
    </w:p>
    <w:p>
      <w:pPr>
        <w:pStyle w:val="Variante"/>
      </w:pPr>
      <w:r>
        <w:t xml:space="preserve">Variante : TITULARITÉ DE L'INVENTEUR OU AYANT CAUSE</w:t>
      </w:r>
    </w:p>
    <w:p>
      <w:pPr>
        <w:pStyle w:val="Corps"/>
      </w:pPr>
      <w:r>
        <w:t xml:space="preserve">La titularité et les transmissions sont établies par [Chaîne de titularité].</w:t>
      </w:r>
    </w:p>
    <w:p>
      <w:pPr>
        <w:pStyle w:val="Corps"/>
      </w:pPr>
      <w:r>
        <w:t xml:space="preserve">Les preuves relient l'inventeur au premier déposant puis au titulaire actuel. Toute transmission intermédiaire est datée et rapprochée du titre correspondant.</w:t>
      </w:r>
    </w:p>
    <w:p>
      <w:pPr>
        <w:pStyle w:val="Variante"/>
      </w:pPr>
      <w:r>
        <w:t xml:space="preserve">Variante : INVENTION DE SALARIÉ</w:t>
      </w:r>
    </w:p>
    <w:p>
      <w:pPr>
        <w:pStyle w:val="Corps"/>
      </w:pPr>
      <w:r>
        <w:t xml:space="preserve">La mission, la déclaration, le classement, la rémunération ou le juste prix et les accords écrits sont établis par [Pièces d'invention de salarié] et [Chaîne de titularité].</w:t>
      </w:r>
    </w:p>
    <w:p>
      <w:pPr>
        <w:pStyle w:val="Corps"/>
      </w:pPr>
      <w:r>
        <w:t xml:space="preserve">Le dossier distingue invention de mission, hors mission attribuable et hors mission libre. La déclaration, le classement, la rémunération et les éventuels accords sont conservés.</w:t>
      </w:r>
    </w:p>
    <w:p>
      <w:pPr>
        <w:pStyle w:val="Variante"/>
      </w:pPr>
      <w:r>
        <w:t xml:space="preserve">Variante : INVENTION D'UNE PERSONNE ACCUEILLIE EN RECHERCHE</w:t>
      </w:r>
    </w:p>
    <w:p>
      <w:pPr>
        <w:pStyle w:val="Corps"/>
      </w:pPr>
      <w:r>
        <w:t xml:space="preserve">La convention, la mission, l'attribution et la contrepartie sont établies par [Pièces de personne accueillie en recherche] et [Chaîne de titularité].</w:t>
      </w:r>
    </w:p>
    <w:p>
      <w:pPr>
        <w:pStyle w:val="Corps"/>
      </w:pPr>
      <w:r>
        <w:t xml:space="preserve">La convention d'accueil, la mission, l'attribution et la contrepartie sont vérifiées pour la personne et la période concernées. Aucun régime salarié n'est appliqué par assimilation.</w:t>
      </w:r>
    </w:p>
    <w:p>
      <w:pPr>
        <w:pStyle w:val="Variante"/>
      </w:pPr>
      <w:r>
        <w:t xml:space="preserve">Variante : CHAÎNE DE TRANSMISSIONS</w:t>
      </w:r>
    </w:p>
    <w:p>
      <w:pPr>
        <w:pStyle w:val="Corps"/>
      </w:pPr>
      <w:r>
        <w:t xml:space="preserve">Les actes successifs, dates, parties, titres et inscriptions sont établis par [Cessions anterieures] et [Chaîne de titularité].</w:t>
      </w:r>
    </w:p>
    <w:p>
      <w:pPr>
        <w:pStyle w:val="Corps"/>
      </w:pPr>
      <w:r>
        <w:t xml:space="preserve">Chaque acte successif mentionne les parties, les titres, la portée et la date. Les inscriptions sont rapprochées des actes sans être confondues avec leur validité entre les parties.</w:t>
      </w:r>
    </w:p>
    <w:p>
      <w:pPr>
        <w:pStyle w:val="Variante"/>
      </w:pPr>
      <w:r>
        <w:t xml:space="preserve">Variante : CHAÎNE NON ÉTABLIE</w:t>
      </w:r>
    </w:p>
    <w:p>
      <w:pPr>
        <w:pStyle w:val="Corps"/>
      </w:pPr>
      <w:r>
        <w:t xml:space="preserve">La chaîne de titularité n'est pas suffisamment documentée ; aucune cession ou licence ne peut être exportée comme prête à signer.</w:t>
      </w:r>
    </w:p>
    <w:p>
      <w:pPr>
        <w:pStyle w:val="Corps"/>
      </w:pPr>
      <w:r>
        <w:t xml:space="preserve">L'absence d'un maillon empêche d'affirmer le pouvoir de céder ou de licencier. La correction attendue est identifiée et l'export reste bloqué jusque-là.</w:t>
      </w:r>
    </w:p>
    <w:p>
      <w:pPr>
        <w:pStyle w:val="Intertitre"/>
      </w:pPr>
      <w:r>
        <w:t xml:space="preserve">Le titre est-il en copropriete ? — choisir une seule variante</w:t>
      </w:r>
    </w:p>
    <w:p>
      <w:pPr>
        <w:pStyle w:val="Variante"/>
      </w:pPr>
      <w:r>
        <w:t xml:space="preserve">Variante : TITULAIRE UNIQUE</w:t>
      </w:r>
    </w:p>
    <w:p>
      <w:pPr>
        <w:pStyle w:val="Corps"/>
      </w:pPr>
      <w:r>
        <w:t xml:space="preserve">La qualité de titulaire unique résulte de [Chaîne de titularité].</w:t>
      </w:r>
    </w:p>
    <w:p>
      <w:pPr>
        <w:pStyle w:val="Corps"/>
      </w:pPr>
      <w:r>
        <w:t xml:space="preserve">Le relevé de registre et la chaîne contractuelle convergent vers un seul titulaire habilité. Toute copropriété ou option découverte impose de changer de branche.</w:t>
      </w:r>
    </w:p>
    <w:p>
      <w:pPr>
        <w:pStyle w:val="Variante"/>
      </w:pPr>
      <w:r>
        <w:t xml:space="preserve">Variante : COPROPRIÉTÉ ET CONSENTEMENTS</w:t>
      </w:r>
    </w:p>
    <w:p>
      <w:pPr>
        <w:pStyle w:val="Corps"/>
      </w:pPr>
      <w:r>
        <w:t xml:space="preserve">Les quote-parts, règles et consentements sont documentés dans [Copropriété].</w:t>
      </w:r>
    </w:p>
    <w:p>
      <w:pPr>
        <w:pStyle w:val="Corps"/>
      </w:pPr>
      <w:r>
        <w:t xml:space="preserve">Les quotes-parts et règles de décision sont appliquées à l'acte envisagé. Les consentements nécessaires sont annexés et ne sont jamais déduits du silence.</w:t>
      </w:r>
    </w:p>
    <w:p>
      <w:pPr>
        <w:pStyle w:val="Variante"/>
      </w:pPr>
      <w:r>
        <w:t xml:space="preserve">Variante : COPROPRIÉTÉ NON RÉSOLUE</w:t>
      </w:r>
    </w:p>
    <w:p>
      <w:pPr>
        <w:pStyle w:val="Corps"/>
      </w:pPr>
      <w:r>
        <w:t xml:space="preserve">Les pouvoirs de disposer du titre en copropriété ne sont pas établis ; l'export est bloqué.</w:t>
      </w:r>
    </w:p>
    <w:p>
      <w:pPr>
        <w:pStyle w:val="Corps"/>
      </w:pPr>
      <w:r>
        <w:t xml:space="preserve">Le contrat ne peut engager les droits d'un cotitulaire non représenté. Les règles ou consentements manquants sont traités avant toute circulation pour signature.</w:t>
      </w:r>
    </w:p>
    <w:p>
      <w:pPr>
        <w:pStyle w:val="Intertitre"/>
      </w:pPr>
      <w:r>
        <w:t xml:space="preserve">Des droits de tiers affectent-ils le titre ? — choisir une seule variante</w:t>
      </w:r>
    </w:p>
    <w:p>
      <w:pPr>
        <w:pStyle w:val="Variante"/>
      </w:pPr>
      <w:r>
        <w:t xml:space="preserve">Variante : ABSENCE DE CHARGE DÉCLARÉE</w:t>
      </w:r>
    </w:p>
    <w:p>
      <w:pPr>
        <w:pStyle w:val="Corps"/>
      </w:pPr>
      <w:r>
        <w:t xml:space="preserve">Aucune licence, sûreté, saisie, option ou instance incompatible n'est déclarée après contrôle du dossier et du registre.</w:t>
      </w:r>
    </w:p>
    <w:p>
      <w:pPr>
        <w:pStyle w:val="Corps"/>
      </w:pPr>
      <w:r>
        <w:t xml:space="preserve">La déclaration repose sur un relevé de registre et les contrats communiqués à une date déterminée. Elle ne constitue pas une affirmation absolue au-delà des vérifications réalisées.</w:t>
      </w:r>
    </w:p>
    <w:p>
      <w:pPr>
        <w:pStyle w:val="Variante"/>
      </w:pPr>
      <w:r>
        <w:t xml:space="preserve">Variante : DROITS DE TIERS COMPATIBLES</w:t>
      </w:r>
    </w:p>
    <w:p>
      <w:pPr>
        <w:pStyle w:val="Corps"/>
      </w:pPr>
      <w:r>
        <w:t xml:space="preserve">Les droits de tiers et leur compatibilité sont exposés dans [Charges et droits de tiers].</w:t>
      </w:r>
    </w:p>
    <w:p>
      <w:pPr>
        <w:pStyle w:val="Corps"/>
      </w:pPr>
      <w:r>
        <w:t xml:space="preserve">Chaque charge précise son bénéficiaire, son rang, sa durée, son périmètre et le consentement requis. La compatibilité avec l'opération est motivée dans l'annexe.</w:t>
      </w:r>
    </w:p>
    <w:p>
      <w:pPr>
        <w:pStyle w:val="Variante"/>
      </w:pPr>
      <w:r>
        <w:t xml:space="preserve">Variante : CHARGE INCOMPATIBLE OU NON RÉSOLUE</w:t>
      </w:r>
    </w:p>
    <w:p>
      <w:pPr>
        <w:pStyle w:val="Corps"/>
      </w:pPr>
      <w:r>
        <w:t xml:space="preserve">Les charges exposées dans [Charges et droits de tiers] empêchent ou rendent incertaine l'opération ; l'export est bloqué.</w:t>
      </w:r>
    </w:p>
    <w:p>
      <w:pPr>
        <w:pStyle w:val="Corps"/>
      </w:pPr>
      <w:r>
        <w:t xml:space="preserve">La condition de mainlevée, de consentement ou de renonciation est décrite avec sa preuve. Aucun effet n'est présenté comme acquis avant sa réalisation.</w:t>
      </w:r>
    </w:p>
    <w:p>
      <w:pPr>
        <w:pStyle w:val="Intertitre"/>
      </w:pPr>
      <w:r>
        <w:t xml:space="preserve">Quelle operation est conclue ? — choisir une seule variante</w:t>
      </w:r>
    </w:p>
    <w:p>
      <w:pPr>
        <w:pStyle w:val="Variante"/>
      </w:pPr>
      <w:r>
        <w:t xml:space="preserve">Variante : CESSION</w:t>
      </w:r>
    </w:p>
    <w:p>
      <w:pPr>
        <w:pStyle w:val="Corps"/>
      </w:pPr>
      <w:r>
        <w:t xml:space="preserve">Le cédant transmet au cessionnaire les droits identifiés par [Périmètre de cession], avec effet à la date [Date d'effet].</w:t>
      </w:r>
    </w:p>
    <w:p>
      <w:pPr>
        <w:pStyle w:val="Corps"/>
      </w:pPr>
      <w:r>
        <w:t xml:space="preserve">La cession distingue propriété du titre, créances antérieures, actions et droits conservés. Sa date d'effet entre les parties est séparée de l'opposabilité au registre.</w:t>
      </w:r>
    </w:p>
    <w:p>
      <w:pPr>
        <w:pStyle w:val="Variante"/>
      </w:pPr>
      <w:r>
        <w:t xml:space="preserve">Variante : LICENCE EXCLUSIVE</w:t>
      </w:r>
    </w:p>
    <w:p>
      <w:pPr>
        <w:pStyle w:val="Corps"/>
      </w:pPr>
      <w:r>
        <w:t xml:space="preserve">Le donneur concède une licence exclusive dans les limites [Étendue de l'exclusivité], sans transfert de propriété du titre.</w:t>
      </w:r>
    </w:p>
    <w:p>
      <w:pPr>
        <w:pStyle w:val="Corps"/>
      </w:pPr>
      <w:r>
        <w:t xml:space="preserve">L'exclusivité précise les actes, produits, territoires et exceptions conservées par le titulaire. Les licences antérieures et droits de recherche sont traités expressément.</w:t>
      </w:r>
    </w:p>
    <w:p>
      <w:pPr>
        <w:pStyle w:val="Variante"/>
      </w:pPr>
      <w:r>
        <w:t xml:space="preserve">Variante : LICENCE NON EXCLUSIVE</w:t>
      </w:r>
    </w:p>
    <w:p>
      <w:pPr>
        <w:pStyle w:val="Corps"/>
      </w:pPr>
      <w:r>
        <w:t xml:space="preserve">Le donneur concède une licence non exclusive ; il conserve le droit d'exploiter et de concéder d'autres licences, sous réserve des engagements exprès.</w:t>
      </w:r>
    </w:p>
    <w:p>
      <w:pPr>
        <w:pStyle w:val="Corps"/>
      </w:pPr>
      <w:r>
        <w:t xml:space="preserve">Les actes autorisés n'empêchent pas les exploitations et licences compatibles du titulaire. Aucun droit d'action ou de sous-licence ne résulte du seul caractère non exclusif.</w:t>
      </w:r>
    </w:p>
    <w:p>
      <w:pPr>
        <w:pStyle w:val="Intertitre"/>
      </w:pPr>
      <w:r>
        <w:t xml:space="preserve">Quelle est l'etendue de l'operation ? — choisir une seule variante</w:t>
      </w:r>
    </w:p>
    <w:p>
      <w:pPr>
        <w:pStyle w:val="Variante"/>
      </w:pPr>
      <w:r>
        <w:t xml:space="preserve">Variante : INTÉGRALITÉ DES DROITS IDENTIFIÉS</w:t>
      </w:r>
    </w:p>
    <w:p>
      <w:pPr>
        <w:pStyle w:val="Corps"/>
      </w:pPr>
      <w:r>
        <w:t xml:space="preserve">L'opération couvre l'intégralité des droits attachés aux titres identifiés, sans extension à un titre non annexé.</w:t>
      </w:r>
    </w:p>
    <w:p>
      <w:pPr>
        <w:pStyle w:val="Corps"/>
      </w:pPr>
      <w:r>
        <w:t xml:space="preserve">L'intégralité s'apprécie uniquement pour les titres et droits listés. Les droits antérieurs de tiers, le savoir-faire et les perfectionnements demeurent régis par leurs clauses propres.</w:t>
      </w:r>
    </w:p>
    <w:p>
      <w:pPr>
        <w:pStyle w:val="Variante"/>
      </w:pPr>
      <w:r>
        <w:t xml:space="preserve">Variante : PÉRIMÈTRE PARTIEL</w:t>
      </w:r>
    </w:p>
    <w:p>
      <w:pPr>
        <w:pStyle w:val="Corps"/>
      </w:pPr>
      <w:r>
        <w:t xml:space="preserve">Les revendications, droits ou territoires inclus et exclus sont délimités par [Revendications couvertes] et [Périmètre de cession].</w:t>
      </w:r>
    </w:p>
    <w:p>
      <w:pPr>
        <w:pStyle w:val="Corps"/>
      </w:pPr>
      <w:r>
        <w:t xml:space="preserve">L'annexe localise les revendications, territoires ou actes inclus et exclus. Une limite partielle reste lisible sans interprétation d'un terme commercial général.</w:t>
      </w:r>
    </w:p>
    <w:p>
      <w:pPr>
        <w:pStyle w:val="Intertitre"/>
      </w:pPr>
      <w:r>
        <w:t xml:space="preserve">Clause optionnelle : ACTES D'EXPLOITATION</w:t>
      </w:r>
    </w:p>
    <w:p>
      <w:pPr>
        <w:pStyle w:val="Corps"/>
      </w:pPr>
      <w:r>
        <w:t xml:space="preserve">Les actes autorisés sont [Actes d'exploitation autorisés] dans le domaine [Domaine d'utilisation] et le territoire [Territoire].</w:t>
      </w:r>
    </w:p>
    <w:p>
      <w:pPr>
        <w:pStyle w:val="Corps"/>
      </w:pPr>
      <w:r>
        <w:t xml:space="preserve">La fabrication, l'offre, la mise sur le marché, l'utilisation, l'importation et les autres actes sont sélectionnés explicitement selon le besoin économique documenté.</w:t>
      </w:r>
    </w:p>
    <w:p>
      <w:pPr>
        <w:pStyle w:val="Intertitre"/>
      </w:pPr>
      <w:r>
        <w:t xml:space="preserve">Clause optionnelle : DURÉE DE LA LICENCE</w:t>
      </w:r>
    </w:p>
    <w:p>
      <w:pPr>
        <w:pStyle w:val="Corps"/>
      </w:pPr>
      <w:r>
        <w:t xml:space="preserve">La licence est consentie pour [Durée de licence], sans pouvoir excéder la durée des droits effectivement maintenus.</w:t>
      </w:r>
    </w:p>
    <w:p>
      <w:pPr>
        <w:pStyle w:val="Corps"/>
      </w:pPr>
      <w:r>
        <w:t xml:space="preserve">Le point de départ, l'échéance et les événements de fin sont déterminables. La durée ne survit ni à l'extinction du titre ni à une condition résolutoire applicable.</w:t>
      </w:r>
    </w:p>
    <w:p>
      <w:pPr>
        <w:pStyle w:val="Intertitre"/>
      </w:pPr>
      <w:r>
        <w:t xml:space="preserve">Clause optionnelle : SOUS-LICENCE AUTORISÉE</w:t>
      </w:r>
    </w:p>
    <w:p>
      <w:pPr>
        <w:pStyle w:val="Corps"/>
      </w:pPr>
      <w:r>
        <w:t xml:space="preserve">Les sous-licences sont permises dans les limites [Sous-licence].</w:t>
      </w:r>
    </w:p>
    <w:p>
      <w:pPr>
        <w:pStyle w:val="Corps"/>
      </w:pPr>
      <w:r>
        <w:t xml:space="preserve">Les bénéficiaires, actes, territoires, obligations transmissibles et sort des sous-licences sont définis. Le licencié demeure responsable des obligations qu'il doit répercuter.</w:t>
      </w:r>
    </w:p>
    <w:p>
      <w:pPr>
        <w:pStyle w:val="Intertitre"/>
      </w:pPr>
      <w:r>
        <w:t xml:space="preserve">Clause optionnelle : SOUS-LICENCE SOUMISE À CONSENTEMENT</w:t>
      </w:r>
    </w:p>
    <w:p>
      <w:pPr>
        <w:pStyle w:val="Corps"/>
      </w:pPr>
      <w:r>
        <w:t xml:space="preserve">Toute sous-licence requiert le consentement et respecte [Sous-licence].</w:t>
      </w:r>
    </w:p>
    <w:p>
      <w:pPr>
        <w:pStyle w:val="Corps"/>
      </w:pPr>
      <w:r>
        <w:t xml:space="preserve">La demande de consentement, les informations à fournir, le délai de réponse et les motifs de refus sont précisés afin d'éviter une autorisation fictive.</w:t>
      </w:r>
    </w:p>
    <w:p>
      <w:pPr>
        <w:pStyle w:val="Intertitre"/>
      </w:pPr>
      <w:r>
        <w:t xml:space="preserve">Clause optionnelle : SOUS-LICENCE INTERDITE</w:t>
      </w:r>
    </w:p>
    <w:p>
      <w:pPr>
        <w:pStyle w:val="Corps"/>
      </w:pPr>
      <w:r>
        <w:t xml:space="preserve">Aucune sous-licence n'est autorisée sans avenant écrit.</w:t>
      </w:r>
    </w:p>
    <w:p>
      <w:pPr>
        <w:pStyle w:val="Corps"/>
      </w:pPr>
      <w:r>
        <w:t xml:space="preserve">L'interdiction couvre les concessions directes et indirectes sans empêcher les sous-traitances techniques expressément autorisées et sans droit autonome sur le brevet.</w:t>
      </w:r>
    </w:p>
    <w:p>
      <w:pPr>
        <w:pStyle w:val="Intertitre"/>
      </w:pPr>
      <w:r>
        <w:t xml:space="preserve">Quelle remuneration est retenue ? — choisir une seule variante</w:t>
      </w:r>
    </w:p>
    <w:p>
      <w:pPr>
        <w:pStyle w:val="Variante"/>
      </w:pPr>
      <w:r>
        <w:t xml:space="preserve">Variante : PRIX FORFAITAIRE</w:t>
      </w:r>
    </w:p>
    <w:p>
      <w:pPr>
        <w:pStyle w:val="Corps"/>
      </w:pPr>
      <w:r>
        <w:t xml:space="preserve">Le prix, la devise et le régime fiscal sont [Prix forfaitaire] et [Traitement fiscal] ; le paiement suit [Échéancier de paiement].</w:t>
      </w:r>
    </w:p>
    <w:p>
      <w:pPr>
        <w:pStyle w:val="Corps"/>
      </w:pPr>
      <w:r>
        <w:t xml:space="preserve">Le prix distingue principal, taxes, échéances et conditions. Son exigibilité est coordonnée avec la signature, la prise d'effet et les formalités sans valeur préremplie.</w:t>
      </w:r>
    </w:p>
    <w:p>
      <w:pPr>
        <w:pStyle w:val="Variante"/>
      </w:pPr>
      <w:r>
        <w:t xml:space="preserve">Variante : REDEVANCES</w:t>
      </w:r>
    </w:p>
    <w:p>
      <w:pPr>
        <w:pStyle w:val="Corps"/>
      </w:pPr>
      <w:r>
        <w:t xml:space="preserve">La redevance est calculée au taux [Taux de redevance] sur l'assiette [Assiette de redevance] et déclarée selon [Reddition des redevances].</w:t>
      </w:r>
    </w:p>
    <w:p>
      <w:pPr>
        <w:pStyle w:val="Corps"/>
      </w:pPr>
      <w:r>
        <w:t xml:space="preserve">L'assiette, les exclusions, le taux, la périodicité, la devise et les justificatifs sont définis. Les retours, remises et opérations liées reçoivent un traitement explicite.</w:t>
      </w:r>
    </w:p>
    <w:p>
      <w:pPr>
        <w:pStyle w:val="Variante"/>
      </w:pPr>
      <w:r>
        <w:t xml:space="preserve">Variante : PRIX ET REDEVANCES</w:t>
      </w:r>
    </w:p>
    <w:p>
      <w:pPr>
        <w:pStyle w:val="Corps"/>
      </w:pPr>
      <w:r>
        <w:t xml:space="preserve">Le paiement combine [Prix forfaitaire], un taux [Taux de redevance] sur [Assiette de redevance], l'échéancier [Échéancier de paiement] et la reddition [Reddition des redevances].</w:t>
      </w:r>
    </w:p>
    <w:p>
      <w:pPr>
        <w:pStyle w:val="Corps"/>
      </w:pPr>
      <w:r>
        <w:t xml:space="preserve">La part fixe et la part variable sont calculées séparément puis coordonnées. Les minimums, acomptes et régularisations ne sont appliqués que s'ils sont stipulés.</w:t>
      </w:r>
    </w:p>
    <w:p>
      <w:pPr>
        <w:pStyle w:val="Variante"/>
      </w:pPr>
      <w:r>
        <w:t xml:space="preserve">Variante : RÉMUNÉRATION NON DÉTERMINÉE</w:t>
      </w:r>
    </w:p>
    <w:p>
      <w:pPr>
        <w:pStyle w:val="Corps"/>
      </w:pPr>
      <w:r>
        <w:t xml:space="preserve">La rémunération n'est pas déterminée ; l'export est bloqué.</w:t>
      </w:r>
    </w:p>
    <w:p>
      <w:pPr>
        <w:pStyle w:val="Corps"/>
      </w:pPr>
      <w:r>
        <w:t xml:space="preserve">Le document identifie l'indétermination sans proposer de chiffre de secours. Une méthode objectivement calculable doit être arrêtée avant l'export.</w:t>
      </w:r>
    </w:p>
    <w:p>
      <w:pPr>
        <w:pStyle w:val="Intertitre"/>
      </w:pPr>
      <w:r>
        <w:t xml:space="preserve">Clause optionnelle : REDEVANCE MINIMALE</w:t>
      </w:r>
    </w:p>
    <w:p>
      <w:pPr>
        <w:pStyle w:val="Corps"/>
      </w:pPr>
      <w:r>
        <w:t xml:space="preserve">La redevance minimale est [Redevance minimale] et ses conséquences sont intégrées à la clause de fin.</w:t>
      </w:r>
    </w:p>
    <w:p>
      <w:pPr>
        <w:pStyle w:val="Corps"/>
      </w:pPr>
      <w:r>
        <w:t xml:space="preserve">Le montant, la période, l'imputation et les conséquences d'un défaut sont précisés. Le minimum ne modifie pas tacitement le taux ni la durée de la licence.</w:t>
      </w:r>
    </w:p>
    <w:p>
      <w:pPr>
        <w:pStyle w:val="Intertitre"/>
      </w:pPr>
      <w:r>
        <w:t xml:space="preserve">Clause optionnelle : PAIEMENTS D'ÉTAPES</w:t>
      </w:r>
    </w:p>
    <w:p>
      <w:pPr>
        <w:pStyle w:val="Corps"/>
      </w:pPr>
      <w:r>
        <w:t xml:space="preserve">Les événements, montants et preuves sont [Paiements d'etapes].</w:t>
      </w:r>
    </w:p>
    <w:p>
      <w:pPr>
        <w:pStyle w:val="Corps"/>
      </w:pPr>
      <w:r>
        <w:t xml:space="preserve">Chaque jalon possède un fait générateur vérifiable, un responsable et une preuve. Une date ou un résultat incertain ne déclenche aucun montant inventé.</w:t>
      </w:r>
    </w:p>
    <w:p>
      <w:pPr>
        <w:pStyle w:val="Intertitre"/>
      </w:pPr>
      <w:r>
        <w:t xml:space="preserve">Clause optionnelle : CONTRÔLE DES REDEVANCES</w:t>
      </w:r>
    </w:p>
    <w:p>
      <w:pPr>
        <w:pStyle w:val="Corps"/>
      </w:pPr>
      <w:r>
        <w:t xml:space="preserve">Le contrôle suit [Contrôle des redevances] sans accès disproportionné aux informations non pertinentes.</w:t>
      </w:r>
    </w:p>
    <w:p>
      <w:pPr>
        <w:pStyle w:val="Corps"/>
      </w:pPr>
      <w:r>
        <w:t xml:space="preserve">Le préavis, l'auditeur, la fréquence, le périmètre et la confidentialité sont encadrés. Les écarts et coûts d'audit sont traités selon des seuils expressément convenus.</w:t>
      </w:r>
    </w:p>
    <w:p>
      <w:pPr>
        <w:pStyle w:val="Intertitre"/>
      </w:pPr>
      <w:r>
        <w:t xml:space="preserve">Qui assure le maintien des titres ? — choisir une seule variante</w:t>
      </w:r>
    </w:p>
    <w:p>
      <w:pPr>
        <w:pStyle w:val="Variante"/>
      </w:pPr>
      <w:r>
        <w:t xml:space="preserve">Variante : MAINTIEN PAR LE TITULAIRE APRÈS PRISE D'EFFET</w:t>
      </w:r>
    </w:p>
    <w:p>
      <w:pPr>
        <w:pStyle w:val="Corps"/>
      </w:pPr>
      <w:r>
        <w:t xml:space="preserve">Le maintien, les annuités, consultations, décisions et coûts sont organisés par [Responsable du maintien] et [Budget de maintien] ; tout abandon suit [Préavis d'abandon].</w:t>
      </w:r>
    </w:p>
    <w:p>
      <w:pPr>
        <w:pStyle w:val="Corps"/>
      </w:pPr>
      <w:r>
        <w:t xml:space="preserve">Le titulaire conserve la conduite des procédures et informe le bénéficiaire des échéances structurantes. Tout abandon suit le préavis et le mécanisme de reprise convenus.</w:t>
      </w:r>
    </w:p>
    <w:p>
      <w:pPr>
        <w:pStyle w:val="Variante"/>
      </w:pPr>
      <w:r>
        <w:t xml:space="preserve">Variante : MAINTIEN PAR L'AUTRE PARTIE SOUS MANDAT</w:t>
      </w:r>
    </w:p>
    <w:p>
      <w:pPr>
        <w:pStyle w:val="Corps"/>
      </w:pPr>
      <w:r>
        <w:t xml:space="preserve">Le maintien, les annuités, les consultations et les décisions sont confiés à [Responsable du maintien] dans la limite de [Budget de maintien] ; tout abandon suit [Préavis d'abandon].</w:t>
      </w:r>
    </w:p>
    <w:p>
      <w:pPr>
        <w:pStyle w:val="Corps"/>
      </w:pPr>
      <w:r>
        <w:t xml:space="preserve">La partie mandatée agit dans la limite d'instructions écrites, d'un budget et de délais définis. Le mandat n'emporte aucun transfert de propriété implicite.</w:t>
      </w:r>
    </w:p>
    <w:p>
      <w:pPr>
        <w:pStyle w:val="Variante"/>
      </w:pPr>
      <w:r>
        <w:t xml:space="preserve">Variante : MAINTIEN PARTAGÉ</w:t>
      </w:r>
    </w:p>
    <w:p>
      <w:pPr>
        <w:pStyle w:val="Corps"/>
      </w:pPr>
      <w:r>
        <w:t xml:space="preserve">Les parties répartissent le maintien, les annuités, les consultations et les coûts selon [Responsable du maintien] et [Budget de maintien] ; tout abandon suit [Préavis d'abandon].</w:t>
      </w:r>
    </w:p>
    <w:p>
      <w:pPr>
        <w:pStyle w:val="Corps"/>
      </w:pPr>
      <w:r>
        <w:t xml:space="preserve">Les décisions, coûts et désaccords sont répartis entre les parties par catégorie de titre. Une procédure d'urgence évite la perte d'un droit pendant une consultation.</w:t>
      </w:r>
    </w:p>
    <w:p>
      <w:pPr>
        <w:pStyle w:val="Variante"/>
      </w:pPr>
      <w:r>
        <w:t xml:space="preserve">Variante : MAINTIEN NON ATTRIBUÉ</w:t>
      </w:r>
    </w:p>
    <w:p>
      <w:pPr>
        <w:pStyle w:val="Corps"/>
      </w:pPr>
      <w:r>
        <w:t xml:space="preserve">La responsabilité des annuités et de l'abandon n'est pas attribuée ; l'export est bloqué.</w:t>
      </w:r>
    </w:p>
    <w:p>
      <w:pPr>
        <w:pStyle w:val="Corps"/>
      </w:pPr>
      <w:r>
        <w:t xml:space="preserve">Aucune partie n'est réputée payer ou instruire par défaut. L'export reste bloqué jusqu'à l'attribution des échéances, pouvoirs et coûts.</w:t>
      </w:r>
    </w:p>
    <w:p>
      <w:pPr>
        <w:pStyle w:val="Intertitre"/>
      </w:pPr>
      <w:r>
        <w:t xml:space="preserve">Clause optionnelle : PROCÉDURES SUR DEMANDES EN COURS</w:t>
      </w:r>
    </w:p>
    <w:p>
      <w:pPr>
        <w:pStyle w:val="Corps"/>
      </w:pPr>
      <w:r>
        <w:t xml:space="preserve">Les instructions aux conseils, réponses aux offices, divisions et validations suivent [Conduite des procédures].</w:t>
      </w:r>
    </w:p>
    <w:p>
      <w:pPr>
        <w:pStyle w:val="Corps"/>
      </w:pPr>
      <w:r>
        <w:t xml:space="preserve">Le protocole distingue réponses courantes, modifications de revendications, divisions, validations et abandon. Les instructions urgentes sont traçables et compatibles avec le mandat.</w:t>
      </w:r>
    </w:p>
    <w:p>
      <w:pPr>
        <w:pStyle w:val="Intertitre"/>
      </w:pPr>
      <w:r>
        <w:t xml:space="preserve">Qui conduit les actions en contrefacon ? — choisir une seule variante</w:t>
      </w:r>
    </w:p>
    <w:p>
      <w:pPr>
        <w:pStyle w:val="Variante"/>
      </w:pPr>
      <w:r>
        <w:t xml:space="preserve">Variante : ACTION CONDUITE PAR LE TITULAIRE</w:t>
      </w:r>
    </w:p>
    <w:p>
      <w:pPr>
        <w:pStyle w:val="Corps"/>
      </w:pPr>
      <w:r>
        <w:t xml:space="preserve">La détection, la notification, la conduite, les coûts, transactions et produits suivent [Contrefacon] ; la qualité pour agir reste vérifiée selon la loi applicable.</w:t>
      </w:r>
    </w:p>
    <w:p>
      <w:pPr>
        <w:pStyle w:val="Corps"/>
      </w:pPr>
      <w:r>
        <w:t xml:space="preserve">Le titulaire décide et conduit l'action après information du bénéficiaire. Le contrat répartit coopération, frais et produits sans élargir la qualité légale pour agir.</w:t>
      </w:r>
    </w:p>
    <w:p>
      <w:pPr>
        <w:pStyle w:val="Variante"/>
      </w:pPr>
      <w:r>
        <w:t xml:space="preserve">Variante : ACTION CONDUITE PAR LE BÉNÉFICIAIRE</w:t>
      </w:r>
    </w:p>
    <w:p>
      <w:pPr>
        <w:pStyle w:val="Corps"/>
      </w:pPr>
      <w:r>
        <w:t xml:space="preserve">Le bénéficiaire détecte, notifie et conduit les actions dans les limites de [Contrefacon] ; sa qualité pour agir reste vérifiée selon la loi applicable.</w:t>
      </w:r>
    </w:p>
    <w:p>
      <w:pPr>
        <w:pStyle w:val="Corps"/>
      </w:pPr>
      <w:r>
        <w:t xml:space="preserve">Le bénéficiaire peut agir seulement dans les conditions légales et contractuelles vérifiées. Les notifications préalables, la conduite et l'intervention du titulaire sont organisées.</w:t>
      </w:r>
    </w:p>
    <w:p>
      <w:pPr>
        <w:pStyle w:val="Variante"/>
      </w:pPr>
      <w:r>
        <w:t xml:space="preserve">Variante : CONDUITE PARTAGÉE DES ACTIONS</w:t>
      </w:r>
    </w:p>
    <w:p>
      <w:pPr>
        <w:pStyle w:val="Corps"/>
      </w:pPr>
      <w:r>
        <w:t xml:space="preserve">Les parties partagent détection, notification, conduite, coûts, transactions et produits selon [Contrefacon] ; la qualité pour agir reste vérifiée selon la loi applicable.</w:t>
      </w:r>
    </w:p>
    <w:p>
      <w:pPr>
        <w:pStyle w:val="Corps"/>
      </w:pPr>
      <w:r>
        <w:t xml:space="preserve">Les parties coordonnent la décision, le conseil, la stratégie, les transactions et les coûts. Un mécanisme tranche le désaccord sans priver une partie d'une mesure urgente disponible.</w:t>
      </w:r>
    </w:p>
    <w:p>
      <w:pPr>
        <w:pStyle w:val="Intertitre"/>
      </w:pPr>
      <w:r>
        <w:t xml:space="preserve">DÉFENSE DU TITRE</w:t>
      </w:r>
    </w:p>
    <w:p>
      <w:pPr>
        <w:pStyle w:val="Corps"/>
      </w:pPr>
      <w:r>
        <w:t xml:space="preserve">Les oppositions, actions en nullité ou revendication de propriété sont traitées selon [Defense du titre].</w:t>
      </w:r>
    </w:p>
    <w:p>
      <w:pPr>
        <w:pStyle w:val="Corps"/>
      </w:pPr>
      <w:r>
        <w:t xml:space="preserve">La partie informée notifie l'attaque, conserve les délais et partage les pièces utiles. Les décisions sur nullité, limitation ou transaction sont attribuées avec leurs conséquences économiques.</w:t>
      </w:r>
    </w:p>
    <w:p>
      <w:pPr>
        <w:pStyle w:val="Intertitre"/>
      </w:pPr>
      <w:r>
        <w:t xml:space="preserve">Quel niveau de declaration sur la validite est retenu ? — choisir une seule variante</w:t>
      </w:r>
    </w:p>
    <w:p>
      <w:pPr>
        <w:pStyle w:val="Variante"/>
      </w:pPr>
      <w:r>
        <w:t xml:space="preserve">Variante : INFORMATIONS SUR LE TITRE</w:t>
      </w:r>
    </w:p>
    <w:p>
      <w:pPr>
        <w:pStyle w:val="Corps"/>
      </w:pPr>
      <w:r>
        <w:t xml:space="preserve">Le dossier de validité et les limites connues sont communiqués selon [État de validité] ; aucune validité absolue n'est garantie.</w:t>
      </w:r>
    </w:p>
    <w:p>
      <w:pPr>
        <w:pStyle w:val="Corps"/>
      </w:pPr>
      <w:r>
        <w:t xml:space="preserve">Les rapports, recherches et procédures connus sont listés à une date déterminée. Leur communication ne constitue ni opinion de validité ni promesse de résultat.</w:t>
      </w:r>
    </w:p>
    <w:p>
      <w:pPr>
        <w:pStyle w:val="Variante"/>
      </w:pPr>
      <w:r>
        <w:t xml:space="preserve">Variante : GARANTIE LIMITÉE</w:t>
      </w:r>
    </w:p>
    <w:p>
      <w:pPr>
        <w:pStyle w:val="Corps"/>
      </w:pPr>
      <w:r>
        <w:t xml:space="preserve">La garantie est strictement délimitée par [État de validité] et [Garantie de titularité] ; elle ne transforme pas une incertitude technique ou judiciaire en certitude.</w:t>
      </w:r>
    </w:p>
    <w:p>
      <w:pPr>
        <w:pStyle w:val="Corps"/>
      </w:pPr>
      <w:r>
        <w:t xml:space="preserve">Les réserves et exclusions sont lisibles et compatibles avec l'objet essentiel de l'opération. La limitation ne masque aucune information connue déterminante du consentement.</w:t>
      </w:r>
    </w:p>
    <w:p>
      <w:pPr>
        <w:pStyle w:val="Intertitre"/>
      </w:pPr>
      <w:r>
        <w:t xml:space="preserve">TITULARITÉ ET POUVOIR DE DISPOSER</w:t>
      </w:r>
    </w:p>
    <w:p>
      <w:pPr>
        <w:pStyle w:val="Corps"/>
      </w:pPr>
      <w:r>
        <w:t xml:space="preserve">La garantie de titularité est [Garantie de titularité] et la procédure de réclamation est [Procédure de garantie].</w:t>
      </w:r>
    </w:p>
    <w:p>
      <w:pPr>
        <w:pStyle w:val="Corps"/>
      </w:pPr>
      <w:r>
        <w:t xml:space="preserve">La garantie vise l'identité des titres, la chaîne et le pouvoir de disposer selon le niveau convenu. Notification, défense, remède et indemnisation suivent une procédure définie.</w:t>
      </w:r>
    </w:p>
    <w:p>
      <w:pPr>
        <w:pStyle w:val="Intertitre"/>
      </w:pPr>
      <w:r>
        <w:t xml:space="preserve">INTERPRÉTATION DE LA PORTÉE</w:t>
      </w:r>
    </w:p>
    <w:p>
      <w:pPr>
        <w:pStyle w:val="Corps"/>
      </w:pPr>
      <w:r>
        <w:t xml:space="preserve">La portée juridique des titres est déterminée par les revendications identifiées, interprétées avec la description et les dessins ; le contrat ne crée aucune revendication nouvelle.</w:t>
      </w:r>
    </w:p>
    <w:p>
      <w:pPr>
        <w:pStyle w:val="Corps"/>
      </w:pPr>
      <w:r>
        <w:t xml:space="preserve">Les revendications commandent la portée, avec la description et les dessins pour leur interprétation. Le champ commercial ne réécrit ni n'étend le monopole légal.</w:t>
      </w:r>
    </w:p>
    <w:p>
      <w:pPr>
        <w:pStyle w:val="Intertitre"/>
      </w:pPr>
      <w:r>
        <w:t xml:space="preserve">DROITS ANTÉRIEURS DES TIERS</w:t>
      </w:r>
    </w:p>
    <w:p>
      <w:pPr>
        <w:pStyle w:val="Corps"/>
      </w:pPr>
      <w:r>
        <w:t xml:space="preserve">L'opération demeure sans préjudice des droits acquis par des tiers avant la transmission et régulièrement identifiés dans le dossier et les registres consultés.</w:t>
      </w:r>
    </w:p>
    <w:p>
      <w:pPr>
        <w:pStyle w:val="Corps"/>
      </w:pPr>
      <w:r>
        <w:t xml:space="preserve">Les licences, droits de possession personnelle, sûretés et accords antérieurs identifiés sont préservés selon leur portée. L'annexe indique leur incidence sur le bénéficiaire.</w:t>
      </w:r>
    </w:p>
    <w:p>
      <w:pPr>
        <w:pStyle w:val="Intertitre"/>
      </w:pPr>
      <w:r>
        <w:t xml:space="preserve">ÉTAT DES REGISTRES</w:t>
      </w:r>
    </w:p>
    <w:p>
      <w:pPr>
        <w:pStyle w:val="Corps"/>
      </w:pPr>
      <w:r>
        <w:t xml:space="preserve">Un état daté des registres et des procédures est annexé afin de documenter le titulaire inscrit, les charges, les annuités, les demandes et les événements affectant les titres.</w:t>
      </w:r>
    </w:p>
    <w:p>
      <w:pPr>
        <w:pStyle w:val="Corps"/>
      </w:pPr>
      <w:r>
        <w:t xml:space="preserve">Le relevé est daté et conservé avec le dossier de signature. Un événement postérieur déclenche une mise à jour avant inscription ou prise d'effet.</w:t>
      </w:r>
    </w:p>
    <w:p>
      <w:pPr>
        <w:pStyle w:val="Intertitre"/>
      </w:pPr>
      <w:r>
        <w:t xml:space="preserve">Clause optionnelle : SAVOIR-FAIRE ACCESSOIRE</w:t>
      </w:r>
    </w:p>
    <w:p>
      <w:pPr>
        <w:pStyle w:val="Corps"/>
      </w:pPr>
      <w:r>
        <w:t xml:space="preserve">Le savoir-faire transmis est exclusivement celui inventorié dans [Savoir-faire accessoire] ; il reste distinct des droits attachés aux brevets.</w:t>
      </w:r>
    </w:p>
    <w:p>
      <w:pPr>
        <w:pStyle w:val="Corps"/>
      </w:pPr>
      <w:r>
        <w:t xml:space="preserve">L'annexe sépare documents, procédés, expériences et informations non brevetées. Les modalités de remise, d'usage, de restitution et de confidentialité sont définies.</w:t>
      </w:r>
    </w:p>
    <w:p>
      <w:pPr>
        <w:pStyle w:val="Intertitre"/>
      </w:pPr>
      <w:r>
        <w:t xml:space="preserve">Clause optionnelle : CONFIDENTIALITÉ</w:t>
      </w:r>
    </w:p>
    <w:p>
      <w:pPr>
        <w:pStyle w:val="Corps"/>
      </w:pPr>
      <w:r>
        <w:t xml:space="preserve">Les informations protégées sont [Informations confidentielles] pour la durée [Durée de confidentialite].</w:t>
      </w:r>
    </w:p>
    <w:p>
      <w:pPr>
        <w:pStyle w:val="Corps"/>
      </w:pPr>
      <w:r>
        <w:t xml:space="preserve">Les informations protégées, exclusions, destinataires, mesures, divulgations obligatoires et sort en fin de contrat sont identifiés. La durée reste adaptée à leur nature.</w:t>
      </w:r>
    </w:p>
    <w:p>
      <w:pPr>
        <w:pStyle w:val="Intertitre"/>
      </w:pPr>
      <w:r>
        <w:t xml:space="preserve">Clause optionnelle : ASSISTANCE TECHNIQUE</w:t>
      </w:r>
    </w:p>
    <w:p>
      <w:pPr>
        <w:pStyle w:val="Corps"/>
      </w:pPr>
      <w:r>
        <w:t xml:space="preserve">L'assistance, ses livrables, calendrier, intervenants, coût et limites sont [Assistance technique].</w:t>
      </w:r>
    </w:p>
    <w:p>
      <w:pPr>
        <w:pStyle w:val="Corps"/>
      </w:pPr>
      <w:r>
        <w:t xml:space="preserve">Les tâches, livrables, calendrier, dépendances du bénéficiaire et critères de fin sont précisés. L'assistance ne crée aucune garantie de performance non stipulée.</w:t>
      </w:r>
    </w:p>
    <w:p>
      <w:pPr>
        <w:pStyle w:val="Intertitre"/>
      </w:pPr>
      <w:r>
        <w:t xml:space="preserve">Comment traiter les perfectionnements ? — choisir une seule variante</w:t>
      </w:r>
    </w:p>
    <w:p>
      <w:pPr>
        <w:pStyle w:val="Variante"/>
      </w:pPr>
      <w:r>
        <w:t xml:space="preserve">Variante : AUCUN RÉGIME DE PERFECTIONNEMENT</w:t>
      </w:r>
    </w:p>
    <w:p>
      <w:pPr>
        <w:pStyle w:val="Corps"/>
      </w:pPr>
      <w:r>
        <w:t xml:space="preserve">Aucun droit sur des perfectionnements futurs n'est transféré par anticipation.</w:t>
      </w:r>
    </w:p>
    <w:p>
      <w:pPr>
        <w:pStyle w:val="Corps"/>
      </w:pPr>
      <w:r>
        <w:t xml:space="preserve">Chaque partie reste propriétaire de ses perfectionnements futurs selon leur chaîne propre. Aucun accès, licence ou transfert n'est déduit de la coopération.</w:t>
      </w:r>
    </w:p>
    <w:p>
      <w:pPr>
        <w:pStyle w:val="Variante"/>
      </w:pPr>
      <w:r>
        <w:t xml:space="preserve">Variante : PERFECTIONNEMENTS CONSERVÉS AVEC ACCÈS</w:t>
      </w:r>
    </w:p>
    <w:p>
      <w:pPr>
        <w:pStyle w:val="Corps"/>
      </w:pPr>
      <w:r>
        <w:t xml:space="preserve">Le titulaire des perfectionnements les conserve et les met à disposition selon [Perfectionnements].</w:t>
      </w:r>
    </w:p>
    <w:p>
      <w:pPr>
        <w:pStyle w:val="Corps"/>
      </w:pPr>
      <w:r>
        <w:t xml:space="preserve">Le droit d'accès précise bénéficiaires, actes, durée, territoire et prix éventuel. Chaque perfectionnement doit être identifié avant sa mise à disposition.</w:t>
      </w:r>
    </w:p>
    <w:p>
      <w:pPr>
        <w:pStyle w:val="Variante"/>
      </w:pPr>
      <w:r>
        <w:t xml:space="preserve">Variante : LICENCES CROISÉES SUR PERFECTIONNEMENTS</w:t>
      </w:r>
    </w:p>
    <w:p>
      <w:pPr>
        <w:pStyle w:val="Corps"/>
      </w:pPr>
      <w:r>
        <w:t xml:space="preserve">Les licences croisées sont délimitées par [Perfectionnements].</w:t>
      </w:r>
    </w:p>
    <w:p>
      <w:pPr>
        <w:pStyle w:val="Corps"/>
      </w:pPr>
      <w:r>
        <w:t xml:space="preserve">Les licences croisées définissent symétriquement leurs actifs et limites. Les droits de tiers, salariés et partenaires de recherche restent réservés.</w:t>
      </w:r>
    </w:p>
    <w:p>
      <w:pPr>
        <w:pStyle w:val="Variante"/>
      </w:pPr>
      <w:r>
        <w:t xml:space="preserve">Variante : OPTION SUR PERFECTIONNEMENTS</w:t>
      </w:r>
    </w:p>
    <w:p>
      <w:pPr>
        <w:pStyle w:val="Corps"/>
      </w:pPr>
      <w:r>
        <w:t xml:space="preserve">L'option, son exercice, son prix et son périmètre sont [Perfectionnements] ; aucun transfert automatique non individualisé n'est présumé.</w:t>
      </w:r>
    </w:p>
    <w:p>
      <w:pPr>
        <w:pStyle w:val="Corps"/>
      </w:pPr>
      <w:r>
        <w:t xml:space="preserve">L'option précise sa durée, sa notification, les informations disponibles et la méthode de prix. Son exercice donne lieu à l'acte nécessaire pour l'actif identifié.</w:t>
      </w:r>
    </w:p>
    <w:p>
      <w:pPr>
        <w:pStyle w:val="Intertitre"/>
      </w:pPr>
      <w:r>
        <w:t xml:space="preserve">Clause optionnelle : EXPLOITATION DILIGENTE</w:t>
      </w:r>
    </w:p>
    <w:p>
      <w:pPr>
        <w:pStyle w:val="Corps"/>
      </w:pPr>
      <w:r>
        <w:t xml:space="preserve">Les objectifs, moyens, calendrier, comptes rendus et conséquences sont [Obligation d'exploitation].</w:t>
      </w:r>
    </w:p>
    <w:p>
      <w:pPr>
        <w:pStyle w:val="Corps"/>
      </w:pPr>
      <w:r>
        <w:t xml:space="preserve">Les efforts attendus sont reliés à des échéances et comptes rendus vérifiables. Les remèdes distinguent retard, insuffisance persistante et événement extérieur.</w:t>
      </w:r>
    </w:p>
    <w:p>
      <w:pPr>
        <w:pStyle w:val="Intertitre"/>
      </w:pPr>
      <w:r>
        <w:t xml:space="preserve">Clause optionnelle : CONTRÔLE QUALITÉ</w:t>
      </w:r>
    </w:p>
    <w:p>
      <w:pPr>
        <w:pStyle w:val="Corps"/>
      </w:pPr>
      <w:r>
        <w:t xml:space="preserve">Les standards, audits et corrections sont [Contrôle qualité] sans extension implicite du droit de contrôle.</w:t>
      </w:r>
    </w:p>
    <w:p>
      <w:pPr>
        <w:pStyle w:val="Corps"/>
      </w:pPr>
      <w:r>
        <w:t xml:space="preserve">Les référentiels, contrôles, écarts, corrections et coûts sont répartis. L'audit respecte la confidentialité et ne permet pas une intrusion sans rapport avec les produits concernés.</w:t>
      </w:r>
    </w:p>
    <w:p>
      <w:pPr>
        <w:pStyle w:val="Intertitre"/>
      </w:pPr>
      <w:r>
        <w:t xml:space="preserve">La responsabilite est-elle plafonnee ? — choisir une seule variante</w:t>
      </w:r>
    </w:p>
    <w:p>
      <w:pPr>
        <w:pStyle w:val="Variante"/>
      </w:pPr>
      <w:r>
        <w:t xml:space="preserve">Variante : RESPONSABILITÉ PLAFONNÉE</w:t>
      </w:r>
    </w:p>
    <w:p>
      <w:pPr>
        <w:pStyle w:val="Corps"/>
      </w:pPr>
      <w:r>
        <w:t xml:space="preserve">Le plafond, son assiette et ses exceptions sont [Plafond de responsabilité].</w:t>
      </w:r>
    </w:p>
    <w:p>
      <w:pPr>
        <w:pStyle w:val="Corps"/>
      </w:pPr>
      <w:r>
        <w:t xml:space="preserve">Le plafond indique son assiette, sa période et ses exceptions. Il est coordonné avec les garanties de titularité, confidentialité, fraude, faute lourde et règles impératives.</w:t>
      </w:r>
    </w:p>
    <w:p>
      <w:pPr>
        <w:pStyle w:val="Variante"/>
      </w:pPr>
      <w:r>
        <w:t xml:space="preserve">Variante : ABSENCE DE PLAFOND CONVENTIONNEL</w:t>
      </w:r>
    </w:p>
    <w:p>
      <w:pPr>
        <w:pStyle w:val="Corps"/>
      </w:pPr>
      <w:r>
        <w:t xml:space="preserve">Aucun plafond conventionnel n'est stipulé ; les règles applicables demeurent réservées.</w:t>
      </w:r>
    </w:p>
    <w:p>
      <w:pPr>
        <w:pStyle w:val="Corps"/>
      </w:pPr>
      <w:r>
        <w:t xml:space="preserve">L'absence de plafond conventionnel ne supprime ni causalité, ni preuve du dommage, ni devoir de limitation. Les régimes impératifs restent applicables.</w:t>
      </w:r>
    </w:p>
    <w:p>
      <w:pPr>
        <w:pStyle w:val="Intertitre"/>
      </w:pPr>
      <w:r>
        <w:t xml:space="preserve">DURÉE, RÉSILIATION ET RÉSOLUTION</w:t>
      </w:r>
    </w:p>
    <w:p>
      <w:pPr>
        <w:pStyle w:val="Corps"/>
      </w:pPr>
      <w:r>
        <w:t xml:space="preserve">Les causes de fin, remèdes et préavis sont [Causes de fin] ; leurs effets sont [Effets de la fin].</w:t>
      </w:r>
    </w:p>
    <w:p>
      <w:pPr>
        <w:pStyle w:val="Corps"/>
      </w:pPr>
      <w:r>
        <w:t xml:space="preserve">Les causes, notifications, remèdes, dates d'effet et conséquences de la fin sont détaillés, notamment pour les stocks, sous-licences, données, documents, paiements et obligations survivantes.</w:t>
      </w:r>
    </w:p>
    <w:p>
      <w:pPr>
        <w:pStyle w:val="Intertitre"/>
      </w:pPr>
      <w:r>
        <w:t xml:space="preserve">Quel est le statut de l'inscription RNB ? — choisir une seule variante</w:t>
      </w:r>
    </w:p>
    <w:p>
      <w:pPr>
        <w:pStyle w:val="Variante"/>
      </w:pPr>
      <w:r>
        <w:t xml:space="preserve">Variante : INSCRIPTION AU RNB À EFFECTUER</w:t>
      </w:r>
    </w:p>
    <w:p>
      <w:pPr>
        <w:pStyle w:val="Corps"/>
      </w:pPr>
      <w:r>
        <w:t xml:space="preserve">L'inscription au Registre national des brevets, les pièces, délais, coûts et preuves incombent selon [Formalités RNB].</w:t>
      </w:r>
    </w:p>
    <w:p>
      <w:pPr>
        <w:pStyle w:val="Corps"/>
      </w:pPr>
      <w:r>
        <w:t xml:space="preserve">Le responsable prépare la demande, les extraits, traductions, pouvoirs et taxes. Le dépôt est prouvé par le récépissé sans être confondu avec l'inscription définitive.</w:t>
      </w:r>
    </w:p>
    <w:p>
      <w:pPr>
        <w:pStyle w:val="Variante"/>
      </w:pPr>
      <w:r>
        <w:t xml:space="preserve">Variante : DEMANDE D'INSCRIPTION DÉPOSÉE</w:t>
      </w:r>
    </w:p>
    <w:p>
      <w:pPr>
        <w:pStyle w:val="Corps"/>
      </w:pPr>
      <w:r>
        <w:t xml:space="preserve">Le dépôt et son suivi sont documentés dans [Formalités RNB] ; l'inscription définitive n'est pas présumée.</w:t>
      </w:r>
    </w:p>
    <w:p>
      <w:pPr>
        <w:pStyle w:val="Corps"/>
      </w:pPr>
      <w:r>
        <w:t xml:space="preserve">Le numéro, la date, les titres couverts et les éventuelles irrégularités sont suivis jusqu'à décision. Toute demande de pièce est transmise sans délai.</w:t>
      </w:r>
    </w:p>
    <w:p>
      <w:pPr>
        <w:pStyle w:val="Variante"/>
      </w:pPr>
      <w:r>
        <w:t xml:space="preserve">Variante : INSCRIPTION ACCOMPLIE</w:t>
      </w:r>
    </w:p>
    <w:p>
      <w:pPr>
        <w:pStyle w:val="Corps"/>
      </w:pPr>
      <w:r>
        <w:t xml:space="preserve">La preuve d'inscription, sa date et les titres couverts figurent dans [Formalités RNB].</w:t>
      </w:r>
    </w:p>
    <w:p>
      <w:pPr>
        <w:pStyle w:val="Corps"/>
      </w:pPr>
      <w:r>
        <w:t xml:space="preserve">La preuve officielle identifie l'acte, les parties, les titres et la date. Les erreurs ou omissions donnent lieu à la rectification prévue au contrat.</w:t>
      </w:r>
    </w:p>
    <w:p>
      <w:pPr>
        <w:pStyle w:val="Variante"/>
      </w:pPr>
      <w:r>
        <w:t xml:space="preserve">Variante : INSCRIPTION NON ATTRIBUÉE</w:t>
      </w:r>
    </w:p>
    <w:p>
      <w:pPr>
        <w:pStyle w:val="Corps"/>
      </w:pPr>
      <w:r>
        <w:t xml:space="preserve">La responsabilité et les pièces de l'inscription ne sont pas déterminées ; l'export est bloqué.</w:t>
      </w:r>
    </w:p>
    <w:p>
      <w:pPr>
        <w:pStyle w:val="Corps"/>
      </w:pPr>
      <w:r>
        <w:t xml:space="preserve">Le contrat ne désigne ni responsable ni dossier complet ; il ne peut donc présenter l'opposabilité comme sécurisée. La branche bloque l'export.</w:t>
      </w:r>
    </w:p>
    <w:p>
      <w:pPr>
        <w:pStyle w:val="Intertitre"/>
      </w:pPr>
      <w:r>
        <w:t xml:space="preserve">COOPÉRATION AUX FORMALITÉS</w:t>
      </w:r>
    </w:p>
    <w:p>
      <w:pPr>
        <w:pStyle w:val="Corps"/>
      </w:pPr>
      <w:r>
        <w:t xml:space="preserve">Chaque partie remet sans retard les actes, extraits, signatures, traductions et pouvoirs nécessaires aux inscriptions, rectifications et formalités placées sous sa maîtrise.</w:t>
      </w:r>
    </w:p>
    <w:p>
      <w:pPr>
        <w:pStyle w:val="Corps"/>
      </w:pPr>
      <w:r>
        <w:t xml:space="preserve">La coopération est limitée aux pièces sous le contrôle de chaque partie et se poursuit pendant le délai nécessaire. Les coûts sont répartis par la clause correspondante.</w:t>
      </w:r>
    </w:p>
    <w:p>
      <w:pPr>
        <w:pStyle w:val="Intertitre"/>
      </w:pPr>
      <w:r>
        <w:t xml:space="preserve">Clause optionnelle : FORMALITÉS HORS DE FRANCE</w:t>
      </w:r>
    </w:p>
    <w:p>
      <w:pPr>
        <w:pStyle w:val="Corps"/>
      </w:pPr>
      <w:r>
        <w:t xml:space="preserve">Les offices, représentants, pièces, traductions et délais sont [Formalités hors de France].</w:t>
      </w:r>
    </w:p>
    <w:p>
      <w:pPr>
        <w:pStyle w:val="Corps"/>
      </w:pPr>
      <w:r>
        <w:t xml:space="preserve">Chaque pays reçoit son office, son conseil, ses pièces, ses traductions et son calendrier. Une inscription française ne vaut pas preuve d'une formalité étrangère.</w:t>
      </w:r>
    </w:p>
    <w:p>
      <w:pPr>
        <w:pStyle w:val="Intertitre"/>
      </w:pPr>
      <w:r>
        <w:t xml:space="preserve">NOTIFICATIONS</w:t>
      </w:r>
    </w:p>
    <w:p>
      <w:pPr>
        <w:pStyle w:val="Corps"/>
      </w:pPr>
      <w:r>
        <w:t xml:space="preserve">Les notifications sont adressées selon [Notifications].</w:t>
      </w:r>
    </w:p>
    <w:p>
      <w:pPr>
        <w:pStyle w:val="Corps"/>
      </w:pPr>
      <w:r>
        <w:t xml:space="preserve">Toute notification identifie son auteur, son destinataire, son objet, son canal et sa date de réception. Aucun délai ne court d'une date non établie.</w:t>
      </w:r>
    </w:p>
    <w:p>
      <w:pPr>
        <w:pStyle w:val="Intertitre"/>
      </w:pPr>
      <w:r>
        <w:t xml:space="preserve">DROIT APPLICABLE</w:t>
      </w:r>
    </w:p>
    <w:p>
      <w:pPr>
        <w:pStyle w:val="Corps"/>
      </w:pPr>
      <w:r>
        <w:t xml:space="preserve">Le contrat est régi par [Droit applicable]. Cette stipulation est interprétée avec l'étendue des droits, les limites d'exploitation et les obligations définies par le contrat.</w:t>
      </w:r>
    </w:p>
    <w:p>
      <w:pPr>
        <w:pStyle w:val="Corps"/>
      </w:pPr>
      <w:r>
        <w:t xml:space="preserve">Le droit applicable est désigné sans préjuger des règles impératives attachées aux titres, à leur inscription, à la concurrence ou au territoire d'exploitation.</w:t>
      </w:r>
    </w:p>
    <w:p>
      <w:pPr>
        <w:pStyle w:val="Intertitre"/>
      </w:pPr>
      <w:r>
        <w:t xml:space="preserve">RÈGLEMENT DES DIFFÉRENDS</w:t>
      </w:r>
    </w:p>
    <w:p>
      <w:pPr>
        <w:pStyle w:val="Corps"/>
      </w:pPr>
      <w:r>
        <w:t xml:space="preserve">Les différends sont traités selon [Reglement des différends]. Cette stipulation est interprétée avec l'étendue des droits, les limites d'exploitation et les obligations définies par le contrat.</w:t>
      </w:r>
    </w:p>
    <w:p>
      <w:pPr>
        <w:pStyle w:val="Corps"/>
      </w:pPr>
      <w:r>
        <w:t xml:space="preserve">La clause distingue la négociation préalable, le mode de résolution retenu, la juridiction ou l'institution compétente et les mesures urgentes qui demeurent disponibles.</w:t>
      </w:r>
    </w:p>
    <w:p>
      <w:pPr>
        <w:pStyle w:val="Intertitre"/>
      </w:pPr>
      <w:r>
        <w:t xml:space="preserve">SURVIE DES OBLIGATIONS</w:t>
      </w:r>
    </w:p>
    <w:p>
      <w:pPr>
        <w:pStyle w:val="Corps"/>
      </w:pPr>
      <w:r>
        <w:t xml:space="preserve">Les obligations relatives aux paiements acquis, à la confidentialité, aux audits, aux responsabilités, aux formalités et au sort des sous-licences survivent seulement dans la mesure et pour la durée prévues par leurs clauses.</w:t>
      </w:r>
    </w:p>
    <w:p>
      <w:pPr>
        <w:pStyle w:val="Corps"/>
      </w:pPr>
      <w:r>
        <w:t xml:space="preserve">Chaque obligation survivante est rattachée à une durée ou à un événement déterminable ; aucune survie générale et illimitée n'est créée par cette clause.</w:t>
      </w:r>
    </w:p>
    <w:p>
      <w:pPr>
        <w:pStyle w:val="Intertitre"/>
      </w:pPr>
      <w:r>
        <w:t xml:space="preserve">ANNEXES</w:t>
      </w:r>
    </w:p>
    <w:p>
      <w:pPr>
        <w:pStyle w:val="Corps"/>
      </w:pPr>
      <w:r>
        <w:t xml:space="preserve">Les titres, demandes, priorités, chaîne de titularité, charges, redevances, savoir-faire et formalités sont listés dans [Liste des annexes].</w:t>
      </w:r>
    </w:p>
    <w:p>
      <w:pPr>
        <w:pStyle w:val="Corps"/>
      </w:pPr>
      <w:r>
        <w:t xml:space="preserve">Les annexes identifient les titres, la chaîne, le périmètre, les territoires, la rémunération, les formalités et les contacts. Une pièce absente n'est pas réputée remise.</w:t>
      </w:r>
    </w:p>
    <w:p>
      <w:pPr>
        <w:pStyle w:val="Intertitre"/>
      </w:pPr>
      <w:r>
        <w:t xml:space="preserve">Quel est le statut des signatures ? — choisir une seule variante</w:t>
      </w:r>
    </w:p>
    <w:p>
      <w:pPr>
        <w:pStyle w:val="Variante"/>
      </w:pPr>
      <w:r>
        <w:t xml:space="preserve">Variante : SIGNATURES À RECUEILLIR</w:t>
      </w:r>
    </w:p>
    <w:p>
      <w:pPr>
        <w:pStyle w:val="Corps"/>
      </w:pPr>
      <w:r>
        <w:t xml:space="preserve">Le document demeure un projet ; aucune signature n'est présentée comme acquise.</w:t>
      </w:r>
    </w:p>
    <w:p>
      <w:pPr>
        <w:pStyle w:val="Corps"/>
      </w:pPr>
      <w:r>
        <w:t xml:space="preserve">Les emplacements de signature ne contiennent aucune signature simulée. Le document demeure clairement identifié comme projet ou version prête à signer.</w:t>
      </w:r>
    </w:p>
    <w:p>
      <w:pPr>
        <w:pStyle w:val="Variante"/>
      </w:pPr>
      <w:r>
        <w:t xml:space="preserve">Variante : SIGNATURES DES PARTIES</w:t>
      </w:r>
    </w:p>
    <w:p>
      <w:pPr>
        <w:pStyle w:val="Corps"/>
      </w:pPr>
      <w:r>
        <w:t xml:space="preserve">La première partie signe selon [Signature du cédant ou donneur de licence] et la seconde selon [Signature du cessionnaire ou licencié].</w:t>
      </w:r>
    </w:p>
    <w:p>
      <w:pPr>
        <w:pStyle w:val="Corps"/>
      </w:pPr>
      <w:r>
        <w:t xml:space="preserve">Les deux signatures portent sur la même version et ses annexes. Leur identité, qualité, pouvoir, date et mode sont conservés dans le dossier contractuel.</w:t>
      </w:r>
    </w:p>
    <w:p>
      <w:pPr>
        <w:pStyle w:val="Mention"/>
      </w:pPr>
      <w:r>
        <w:t xml:space="preserve">Les variantes et clauses optionnelles ci-dessus sont proposées dans LegalProd selon les réponses saisies ; les blocs non retenus sont retirés du document final.</w:t>
      </w:r>
    </w:p>
    <w:sectPr>
      <w:pgSz w:w="11906" w:h="16838"/>
      <w:pgMar w:top="1418" w:right="1418" w:bottom="1418" w:left="1418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</w:docDefaults>
  <w:style w:type="paragraph" w:styleId="Titre">
    <w:name w:val="Titre"/>
    <w:pPr>
      <w:spacing w:before="360" w:after="120" w:line="276" w:lineRule="auto"/>
      <w:jc w:val="center"/>
    </w:pPr>
    <w:rPr>
      <w:sz w:val="32"/>
      <w:b/>
    </w:rPr>
  </w:style>
  <w:style w:type="paragraph" w:styleId="Intertitre">
    <w:name w:val="Intertitre"/>
    <w:pPr>
      <w:spacing w:before="280" w:after="120" w:line="276" w:lineRule="auto"/>
      <w:jc w:val="left"/>
    </w:pPr>
    <w:rPr>
      <w:sz w:val="24"/>
      <w:b/>
    </w:rPr>
  </w:style>
  <w:style w:type="paragraph" w:styleId="Variante">
    <w:name w:val="Variante"/>
    <w:pPr>
      <w:spacing w:before="240" w:after="120" w:line="276" w:lineRule="auto"/>
      <w:jc w:val="left"/>
    </w:pPr>
    <w:rPr>
      <w:sz w:val="21"/>
      <w:b/>
    </w:rPr>
  </w:style>
  <w:style w:type="paragraph" w:styleId="Corps">
    <w:name w:val="Corps"/>
    <w:pPr>
      <w:spacing w:before="160" w:after="120" w:line="276" w:lineRule="auto"/>
      <w:jc w:val="both"/>
    </w:pPr>
    <w:rPr>
      <w:sz w:val="22"/>
    </w:rPr>
  </w:style>
  <w:style w:type="paragraph" w:styleId="Mention">
    <w:name w:val="Mention"/>
    <w:pPr>
      <w:spacing w:before="320" w:after="120" w:line="276" w:lineRule="auto"/>
      <w:jc w:val="left"/>
    </w:pPr>
    <w:rPr>
      <w:sz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