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CONTRAT DE CESSION DE MARQUE</w:t>
      </w:r>
    </w:p>
    <w:p>
      <w:pPr>
        <w:pStyle w:val="Intertitre"/>
      </w:pPr>
      <w:r>
        <w:t xml:space="preserve">Cédant et Cessionnaire</w:t>
      </w:r>
    </w:p>
    <w:p>
      <w:pPr>
        <w:pStyle w:val="Corps"/>
      </w:pPr>
      <w:r>
        <w:t xml:space="preserve">Le contrat est conclu entre [Nom ou dénomination du cédant], agissant en qualité de [Qualité du cédant], ci-après le Cédant, et [Nom ou dénomination du cessionnaire], agissant en qualité de [Qualité du cessionnaire], ci-après le Cessionnaire. Chaque partie communique son identité juridique complète, son siège ou adresse professionnelle et les éléments d'immatriculation utiles. Les qualités indiquées ne valent pas preuve de pouvoir. Toute modification susceptible d'affecter l'opération ou son inscription est signalée avant la réalisation des formalités.</w:t>
      </w:r>
    </w:p>
    <w:p>
      <w:pPr>
        <w:pStyle w:val="Intertitre"/>
      </w:pPr>
      <w:r>
        <w:t xml:space="preserve">Pouvoirs</w:t>
      </w:r>
    </w:p>
    <w:p>
      <w:pPr>
        <w:pStyle w:val="Corps"/>
      </w:pPr>
      <w:r>
        <w:t xml:space="preserve">La capacité et les pouvoirs de chaque signataire sont établis par [Preuves de l'autorité]. Chaque partie déclare pouvoir conclure et exécuter les obligations qui lui incombent. Le contrôle porte sur l'actualité, le périmètre et les éventuelles limitations des pouvoirs, ainsi que sur les autorisations sociales ou contractuelles nécessaires. Les pièces sont conservées avec l'acte. Aucun pouvoir ne peut être déduit d'un intitulé de fonction ou d'une valeur de démonstration.</w:t>
      </w:r>
    </w:p>
    <w:p>
      <w:pPr>
        <w:pStyle w:val="Intertitre"/>
      </w:pPr>
      <w:r>
        <w:t xml:space="preserve">Objet</w:t>
      </w:r>
    </w:p>
    <w:p>
      <w:pPr>
        <w:pStyle w:val="Corps"/>
      </w:pPr>
      <w:r>
        <w:t xml:space="preserve">Le Cédant transfère au Cessionnaire les droits attachés aux marques identifiées, dans l'étendue définie et sous les conditions de prix, garantie, inscription et coopération du présent acte. Le transfert ne porte que sur les droits expressément individualisés et n'inclut aucun autre signe, création, nom commercial, logiciel, fichier client ou actif lié sans stipulation spécifique. Les parties distinguent la cession du droit de propriété, la remise matérielle des dossiers et les obligations de coopération.</w:t>
      </w:r>
    </w:p>
    <w:p>
      <w:pPr>
        <w:pStyle w:val="Intertitre"/>
      </w:pPr>
      <w:r>
        <w:t xml:space="preserve">Marques cédées</w:t>
      </w:r>
    </w:p>
    <w:p>
      <w:pPr>
        <w:pStyle w:val="Corps"/>
      </w:pPr>
      <w:r>
        <w:t xml:space="preserve">Les marques concernées sont décrites dans [Calendrier des marques] avec leur signe, numéro, territoire de protection, titulaire inscrit, produits ou services et état procédural.</w:t>
      </w:r>
    </w:p>
    <w:p>
      <w:pPr>
        <w:pStyle w:val="Corps"/>
      </w:pPr>
      <w:r>
        <w:t xml:space="preserve">Pour chaque marque, l'annexe précise le signe, le numéro, les classes, les territoires, les dates pertinentes et le titulaire inscrit. Les demandes en cours, renouvellements, limitations, licences, nantissements, oppositions ou litiges connus sont individualisés. Un droit non listé n'est pas transféré par une formule générale ambiguë. L'annexe distingue les marques verbales, figuratives ou semi-figuratives, leurs versions et les éventuelles copropriétés. Elle précise les priorités revendiquées, les renouvellements à venir et les territoires non encore enregistrés. Toute divergence avec un registre ou un certificat est signalée avant signature.</w:t>
      </w:r>
    </w:p>
    <w:p>
      <w:pPr>
        <w:pStyle w:val="Intertitre"/>
      </w:pPr>
      <w:r>
        <w:t xml:space="preserve">État des registres</w:t>
      </w:r>
    </w:p>
    <w:p>
      <w:pPr>
        <w:pStyle w:val="Corps"/>
      </w:pPr>
      <w:r>
        <w:t xml:space="preserve">L'existence, la titularité, le renouvellement et les inscriptions affectant les marques ressortent de [Preuves d'enregistrement]. Ces éléments sont arrêtés à la date de contrôle indiquée dans les pièces. Le contrôle est effectué sur les registres officiels pertinents et rapproché des actes antérieurs. Les pièces identifient leur date d'extraction afin d'éviter de présenter un état ancien comme actuel. Une demande, opposition ou inscription postérieure est notifiée jusqu'à l'enregistrement de la cession.</w:t>
      </w:r>
    </w:p>
    <w:p>
      <w:pPr>
        <w:pStyle w:val="Intertitre"/>
      </w:pPr>
      <w:r>
        <w:t xml:space="preserve">Dossiers remis</w:t>
      </w:r>
    </w:p>
    <w:p>
      <w:pPr>
        <w:pStyle w:val="Corps"/>
      </w:pPr>
      <w:r>
        <w:t xml:space="preserve">Les dossiers administratifs, certificats, preuves d'usage, correspondances et éléments de suivi remis au Cessionnaire sont [Fichiers de marques]. Leur remise n'étend pas le périmètre des droits cédés. Un bordereau de remise indique la nature, la date, le format et l'état de chaque pièce. Les accès numériques et originaux sont transférés de manière sécurisée. Les copies conservées par le Cédant restent limitées aux obligations légales, aux besoins de preuve et aux droits expressément conservés.</w:t>
      </w:r>
    </w:p>
    <w:p>
      <w:pPr>
        <w:pStyle w:val="Intertitre"/>
      </w:pPr>
      <w:r>
        <w:t xml:space="preserve">Étendue de la cession — choisir une seule variante</w:t>
      </w:r>
    </w:p>
    <w:p>
      <w:pPr>
        <w:pStyle w:val="Variante"/>
      </w:pPr>
      <w:r>
        <w:t xml:space="preserve">Variante : Cession totale</w:t>
      </w:r>
    </w:p>
    <w:p>
      <w:pPr>
        <w:pStyle w:val="Corps"/>
      </w:pPr>
      <w:r>
        <w:t xml:space="preserve">Le Cédant transfère l'intégralité des droits compris dans [Portée complète de l'affectation] pour les marques recensées, avec les actions et accessoires seulement dans les limites expressément prévues par l'acte. Le transfert total comprend les droits d'exploitation attachés aux marques dans les territoires inscrits, sous réserve des licences, sûretés et restrictions divulguées. Il ne peut toutefois transférer un droit inexistant, expiré ou appartenant à un tiers, ni étendre la protection au-delà des enregistrements concernés.</w:t>
      </w:r>
    </w:p>
    <w:p>
      <w:pPr>
        <w:pStyle w:val="Variante"/>
      </w:pPr>
      <w:r>
        <w:t xml:space="preserve">Variante : Cession partielle</w:t>
      </w:r>
    </w:p>
    <w:p>
      <w:pPr>
        <w:pStyle w:val="Corps"/>
      </w:pPr>
      <w:r>
        <w:t xml:space="preserve">La cession porte exclusivement sur [Portée limitée des cessions]. Les marques et produits ou services transférés sont individualisés de manière à permettre leur inscription et leur exploitation distinctes. La limitation précise pour chaque marque les produits ou services, territoires et éventuelles quotes-parts concernés. Les parties vérifient la possibilité juridique et pratique d'une division ou inscription distincte. Tout élément indivisible ou non accepté par l'office reste hors transfert jusqu'à régularisation documentée.</w:t>
      </w:r>
    </w:p>
    <w:p>
      <w:pPr>
        <w:pStyle w:val="Intertitre"/>
      </w:pPr>
      <w:r>
        <w:t xml:space="preserve">Droits conservés</w:t>
      </w:r>
    </w:p>
    <w:p>
      <w:pPr>
        <w:pStyle w:val="Corps"/>
      </w:pPr>
      <w:r>
        <w:t xml:space="preserve">Les droits qui demeurent au Cédant sont [Droits maintenus]. Aucune licence, coexistence, tolérance ou renonciation n'est déduite au-delà de cette réserve expresse. Le Cédant ne peut exercer un droit conservé d'une manière créant une confusion avec le périmètre cédé ou neutralisant la jouissance transférée. Le Cessionnaire n'acquiert aucun droit sur les actifs réservés. Toute coexistence nécessaire fait l'objet de règles d'usage distinctes et opposables.</w:t>
      </w:r>
    </w:p>
    <w:p>
      <w:pPr>
        <w:pStyle w:val="Intertitre"/>
      </w:pPr>
      <w:r>
        <w:t xml:space="preserve">Effet du transfert</w:t>
      </w:r>
    </w:p>
    <w:p>
      <w:pPr>
        <w:pStyle w:val="Corps"/>
      </w:pPr>
      <w:r>
        <w:t xml:space="preserve">Entre les parties, la cession produit effet selon [Règle effective]. Cette règle ne dispense pas d'accomplir les inscriptions nécessaires à l'opposabilité aux tiers. La stipulation précise si le transfert est immédiat, différé ou soumis à une condition identifiée. Les obligations de paiement, remise, transition et inscription sont articulées avec cette date sans confusion. Les risques liés à une condition non réalisée sont traités selon les remèdes convenus.</w:t>
      </w:r>
    </w:p>
    <w:p>
      <w:pPr>
        <w:pStyle w:val="Intertitre"/>
      </w:pPr>
      <w:r>
        <w:t xml:space="preserve">Jouissance des droits cédés</w:t>
      </w:r>
    </w:p>
    <w:p>
      <w:pPr>
        <w:pStyle w:val="Corps"/>
      </w:pPr>
      <w:r>
        <w:t xml:space="preserve">À compter de l'effet convenu, le Cessionnaire exerce les droits transférés dans leur périmètre. Le Cédant cesse tout usage non couvert par un droit conservé ou une licence expresse. Le Cédant retire les signes des supports, comptes, produits et communications entrant dans le périmètre cédé, selon la transition convenue. Il ne concède aucun droit incompatible après la date d'effet. Le Cessionnaire respecte les licences et droits de tiers qui lui ont été divulgués.</w:t>
      </w:r>
    </w:p>
    <w:p>
      <w:pPr>
        <w:pStyle w:val="Intertitre"/>
      </w:pPr>
      <w:r>
        <w:t xml:space="preserve">Prix de cession</w:t>
      </w:r>
    </w:p>
    <w:p>
      <w:pPr>
        <w:pStyle w:val="Corps"/>
      </w:pPr>
      <w:r>
        <w:t xml:space="preserve">Le prix convenu pour les droits transférés est [Prix d'attribution]. Il rémunère uniquement les actifs identifiés et ne vaut pas évaluation d'un actif absent du périmètre. Le prix distingue, lorsque nécessaire, les différentes marques, territoires, droits accessoires et actifs liés. Il ne constitue ni une garantie de valeur future ni une reconnaissance comptable opposable au-delà de l'opération. Toute révision repose exclusivement sur le mécanisme d'ajustement expressément documenté.</w:t>
      </w:r>
    </w:p>
    <w:p>
      <w:pPr>
        <w:pStyle w:val="Intertitre"/>
      </w:pPr>
      <w:r>
        <w:t xml:space="preserve">Paiement</w:t>
      </w:r>
    </w:p>
    <w:p>
      <w:pPr>
        <w:pStyle w:val="Corps"/>
      </w:pPr>
      <w:r>
        <w:t xml:space="preserve">Le prix est exigible et réglé selon [Modalités de paiement]. Les échéances, conditions, justificatifs et conséquences d'un défaut sont appliqués sans modifier la date d'effet sauf stipulation expresse. Les parties précisent également les éventuelles retenues, le séquestre ou la garantie de paiement, les conditions de libération et le traitement d'un retard. Aucun ajustement, compensation ou suspension n'est appliqué sans fondement contractuel et preuve correspondante. Les sommes non contestées restent exigibles selon l'échéancier. Les stipulations applicables sont décrites dans [Ajustement du prix]. Les stipulations applicables sont décrites dans [Sûreté ou séquestre du paiement]. Les stipulations applicables sont décrites dans [Conséquences du retard de paiement].</w:t>
      </w:r>
    </w:p>
    <w:p>
      <w:pPr>
        <w:pStyle w:val="Intertitre"/>
      </w:pPr>
      <w:r>
        <w:t xml:space="preserve">Allocation du prix</w:t>
      </w:r>
    </w:p>
    <w:p>
      <w:pPr>
        <w:pStyle w:val="Corps"/>
      </w:pPr>
      <w:r>
        <w:t xml:space="preserve">La répartition du prix entre marques et autres éléments expressément transférés est [Répartition des prix]. Elle est conservée avec les pièces comptables et les justificatifs de l'opération. La ventilation est cohérente avec le périmètre juridique, les factures et la documentation comptable. Elle ne modifie pas la propriété d'un actif ni les garanties qui lui sont attachées. Toute correction conserve la justification de la ventilation initiale et l'accord habilité des parties.</w:t>
      </w:r>
    </w:p>
    <w:p>
      <w:pPr>
        <w:pStyle w:val="Intertitre"/>
      </w:pPr>
      <w:r>
        <w:t xml:space="preserve">Traitement fiscal</w:t>
      </w:r>
    </w:p>
    <w:p>
      <w:pPr>
        <w:pStyle w:val="Corps"/>
      </w:pPr>
      <w:r>
        <w:t xml:space="preserve">Le traitement des taxes, droits, retenues, factures et déclarations est [Traitement fiscal]. Chaque partie exécute les obligations lui incombant selon sa situation vérifiée. Les parties identifient les obligations déclaratives et justificatifs sans présumer du régime d'une partie ou d'un territoire. Chacune demeure responsable de ses propres déclarations, sous réserve des retenues ou formalités confiées. Une évolution du traitement fiscal ne modifie le prix que si le contrat le prévoit.</w:t>
      </w:r>
    </w:p>
    <w:p>
      <w:pPr>
        <w:pStyle w:val="Intertitre"/>
      </w:pPr>
      <w:r>
        <w:t xml:space="preserve">Titularité</w:t>
      </w:r>
    </w:p>
    <w:p>
      <w:pPr>
        <w:pStyle w:val="Corps"/>
      </w:pPr>
      <w:r>
        <w:t xml:space="preserve">Le Cédant garantit être titulaire des droits qu'il cède dans les limites établies par les registres et la chaîne de propriété communiquée, sous réserve des éléments expressément divulgués. La garantie porte sur le pouvoir de disposer, la chaîne des transmissions, les inscriptions et l'absence de droits incompatibles dans le périmètre défini. Elle est articulée avec les divulgations, exclusions, seuils, plafonds et durées convenus, sans garantir un fait que le registre ou le dossier ne permet pas d'établir. Les stipulations applicables sont décrites dans [Portée des garanties du Cédant].</w:t>
      </w:r>
    </w:p>
    <w:p>
      <w:pPr>
        <w:pStyle w:val="Intertitre"/>
      </w:pPr>
      <w:r>
        <w:t xml:space="preserve">Éléments divulgués</w:t>
      </w:r>
    </w:p>
    <w:p>
      <w:pPr>
        <w:pStyle w:val="Corps"/>
      </w:pPr>
      <w:r>
        <w:t xml:space="preserve">Les licences, sûretés, oppositions, nullités, déchéances, litiges, accords et restrictions connus sont [Questions divulguées]. Le Cessionnaire reconnaît seulement leur communication, sans renoncer à une garantie non exclue. Le tableau indique pour chaque question le droit concerné, les parties, la procédure, le calendrier, les coûts connus et les mesures prises. Une mention générale ou un renvoi non remis n'est pas une divulgation suffisante. Les mises à jour intervenant avant la date d'effet sont communiquées rapidement.</w:t>
      </w:r>
    </w:p>
    <w:p>
      <w:pPr>
        <w:pStyle w:val="Intertitre"/>
      </w:pPr>
      <w:r>
        <w:t xml:space="preserve">Maintien jusqu'à la date d'effet</w:t>
      </w:r>
    </w:p>
    <w:p>
      <w:pPr>
        <w:pStyle w:val="Corps"/>
      </w:pPr>
      <w:r>
        <w:t xml:space="preserve">Jusqu'à la date d'effet, le Cédant accomplit les diligences convenues pour préserver les enregistrements et informe le Cessionnaire de tout événement affectant leur portée ou validité. Les diligences comprennent les renouvellements, réponses aux offices, paiement des taxes, conservation des preuves d'usage et absence de nouvel engagement incompatible. Une décision substantielle est soumise au Cessionnaire lorsqu'elle peut affecter la valeur ou la portée du transfert, sauf urgence conservatoire documentée.</w:t>
      </w:r>
    </w:p>
    <w:p>
      <w:pPr>
        <w:pStyle w:val="Intertitre"/>
      </w:pPr>
      <w:r>
        <w:t xml:space="preserve">Portée des garanties</w:t>
      </w:r>
    </w:p>
    <w:p>
      <w:pPr>
        <w:pStyle w:val="Corps"/>
      </w:pPr>
      <w:r>
        <w:t xml:space="preserve">Aucun volume de ventes, résultat économique, absence absolue de contestation ou validité future n'est garanti au-delà des déclarations précises et des recours convenus dans le présent acte. Les exclusions sont interprétées strictement et ne neutralisent ni la garantie de titularité expressément consentie, ni une obligation essentielle, ni une règle impérative. Le Cessionnaire fonde son appréciation sur ses vérifications et les déclarations identifiées, sans qu'une projection commerciale devienne une promesse implicite.</w:t>
      </w:r>
    </w:p>
    <w:p>
      <w:pPr>
        <w:pStyle w:val="Intertitre"/>
      </w:pPr>
      <w:r>
        <w:t xml:space="preserve">Mise en œuvre des garanties</w:t>
      </w:r>
    </w:p>
    <w:p>
      <w:pPr>
        <w:pStyle w:val="Corps"/>
      </w:pPr>
      <w:r>
        <w:t xml:space="preserve">Toute réclamation au titre des garanties décrit le fait, le droit concerné, les pièces et le préjudice allégué, puis respecte les délais et modalités contradictoires convenus entre les parties. Le régime de réclamation précise la durée de survie, les seuils, plafonds, franchises, exclusions, conduite de la défense et remèdes disponibles. Une notification tardive ne prive d'un recours que dans les conditions expressément convenues et juridiquement efficaces. Les sommes non liées au différend ne sont pas retenues. Les stipulations applicables sont décrites dans [Procédure et limites des réclamations].</w:t>
      </w:r>
    </w:p>
    <w:p>
      <w:pPr>
        <w:pStyle w:val="Intertitre"/>
      </w:pPr>
      <w:r>
        <w:t xml:space="preserve">Clause optionnelle : Licence de transition</w:t>
      </w:r>
    </w:p>
    <w:p>
      <w:pPr>
        <w:pStyle w:val="Corps"/>
      </w:pPr>
      <w:r>
        <w:t xml:space="preserve">Le Cessionnaire consent à [Titulaire de licence de transition] une licence portant sur [Portée de la transition] jusqu'au [Date de fin de la transition], selon [Modalités de transition]. Aucun usage postérieur ou plus étendu n'est autorisé. La licence est personnelle, limitée et non transférable sauf stipulation contraire. Elle fixe les stocks, canaux, mentions, qualité, contrôle et fin d'usage. À son terme, les supports sont retirés ou détruits et aucun renouvellement tacite ne peut être déduit d'une tolérance.</w:t>
      </w:r>
    </w:p>
    <w:p>
      <w:pPr>
        <w:pStyle w:val="Intertitre"/>
      </w:pPr>
      <w:r>
        <w:t xml:space="preserve">Inscription de la cession</w:t>
      </w:r>
    </w:p>
    <w:p>
      <w:pPr>
        <w:pStyle w:val="Corps"/>
      </w:pPr>
      <w:r>
        <w:t xml:space="preserve">Les démarches d'inscription sont [Étapes d'enregistrement]. Les parties fournissent sans délai les actes, annexes, traductions et pouvoirs nécessaires au registre compétent.</w:t>
      </w:r>
    </w:p>
    <w:p>
      <w:pPr>
        <w:pStyle w:val="Corps"/>
      </w:pPr>
      <w:r>
        <w:t xml:space="preserve">Les parties déterminent qui prépare, signe et dépose les formulaires d'inscription, qui supporte les taxes et qui répond aux observations de l'office. Le cédant remet les pouvoirs et pièces nécessaires dans le délai convenu et informe le cessionnaire de toute notification reçue avant l'inscription définitive. Chaque dépôt est suivi jusqu'à sa décision et les récépissés, observations et certificats sont communiqués. Une irrégularité est corrigée par la partie responsable dans le délai utile. L'inscription ne remplace pas les autres formalités requises pour un territoire ou un actif lié.</w:t>
      </w:r>
    </w:p>
    <w:p>
      <w:pPr>
        <w:pStyle w:val="Intertitre"/>
      </w:pPr>
      <w:r>
        <w:t xml:space="preserve">Frais d'inscription</w:t>
      </w:r>
    </w:p>
    <w:p>
      <w:pPr>
        <w:pStyle w:val="Corps"/>
      </w:pPr>
      <w:r>
        <w:t xml:space="preserve">La répartition des taxes, redevances, traductions, certifications et honoraires de formalité est [Répartition des coûts de production]. Les justificatifs sont transmis à la partie qui les supporte. La règle distingue les coûts ordinaires, les réponses à une irrégularité imputable et les formalités supplémentaires demandées par une partie. Une dépense exceptionnelle est approuvée avant engagement, sauf urgence conservatoire. Les remboursements sont appuyés par des justificatifs.</w:t>
      </w:r>
    </w:p>
    <w:p>
      <w:pPr>
        <w:pStyle w:val="Intertitre"/>
      </w:pPr>
      <w:r>
        <w:t xml:space="preserve">Clause optionnelle : Noms de domaine</w:t>
      </w:r>
    </w:p>
    <w:p>
      <w:pPr>
        <w:pStyle w:val="Corps"/>
      </w:pPr>
      <w:r>
        <w:t xml:space="preserve">Les noms de domaine inclus sont [Calendrier des noms de domaine]. Leur transfert auprès des bureaux d'enregistrement suit [Procédure de transfert du Greffier] et la remise sécurisée des codes suit [Procédure de transfert des pouvoirs]. Le tableau précise le titulaire inscrit, le bureau, la date d'expiration, les extensions, les sous-domaines et les services associés. Les comptes, codes et adresses sont transférés par un canal sécurisé. Le Cédant n'en conserve aucun contrôle après confirmation du transfert.</w:t>
      </w:r>
    </w:p>
    <w:p>
      <w:pPr>
        <w:pStyle w:val="Intertitre"/>
      </w:pPr>
      <w:r>
        <w:t xml:space="preserve">Coopération postérieure</w:t>
      </w:r>
    </w:p>
    <w:p>
      <w:pPr>
        <w:pStyle w:val="Corps"/>
      </w:pPr>
      <w:r>
        <w:t xml:space="preserve">Chaque partie signe les documents complémentaires strictement nécessaires pour constater le transfert convenu, corriger une irrégularité matérielle et répondre aux observations du registre. Cette obligation n'autorise ni extension du périmètre ni modification du prix sans accord. La partie demanderesse précise le document, l'objectif, le délai et les frais éventuels. Chacune conserve copie des actes complémentaires et des échanges avec les offices ou tiers concernés.</w:t>
      </w:r>
    </w:p>
    <w:p>
      <w:pPr>
        <w:pStyle w:val="Intertitre"/>
      </w:pPr>
      <w:r>
        <w:t xml:space="preserve">Actions en défense des marques</w:t>
      </w:r>
    </w:p>
    <w:p>
      <w:pPr>
        <w:pStyle w:val="Corps"/>
      </w:pPr>
      <w:r>
        <w:t xml:space="preserve">La conduite des oppositions, nullités, déchéances, contrefaçons et mesures de défense relatives aux périodes concernées est répartie selon [Répartition de l'exécution].</w:t>
      </w:r>
    </w:p>
    <w:p>
      <w:pPr>
        <w:pStyle w:val="Corps"/>
      </w:pPr>
      <w:r>
        <w:t xml:space="preserve">Les actions relatives à des faits antérieurs et postérieurs au transfert sont réparties selon leur date et leur objet. La partie qui conduit une procédure informe l'autre, recueille sa coopération raisonnable et ne conclut aucune transaction affectant les droits ou obligations de celle-ci sans son accord préalable. La répartition identifie la décision d'agir, le choix du conseil, le contrôle de la procédure, les frais, les preuves et les transactions. Les délais impératifs sont surveillés. La coopération ne permet pas d'imposer à l'autre partie une position affectant ses droits conservés ou obligations sans consentement.</w:t>
      </w:r>
    </w:p>
    <w:p>
      <w:pPr>
        <w:pStyle w:val="Intertitre"/>
      </w:pPr>
      <w:r>
        <w:t xml:space="preserve">Sommes et réparations</w:t>
      </w:r>
    </w:p>
    <w:p>
      <w:pPr>
        <w:pStyle w:val="Corps"/>
      </w:pPr>
      <w:r>
        <w:t xml:space="preserve">Les dommages-intérêts, restitutions, frais et autres recouvrements liés aux atteintes antérieures ou postérieures sont attribués selon [Allocation de recouvrement], après déduction des coûts convenus. La règle distingue les périodes, droits, chefs de préjudice et frais supportés. Les sommes sont réparties après encaissement et justification des coûts autorisés. Une transaction globale ventile raisonnablement les montants afin d'éviter de priver une partie de la part qui lui revient.</w:t>
      </w:r>
    </w:p>
    <w:p>
      <w:pPr>
        <w:pStyle w:val="Intertitre"/>
      </w:pPr>
      <w:r>
        <w:t xml:space="preserve">Confidentialité</w:t>
      </w:r>
    </w:p>
    <w:p>
      <w:pPr>
        <w:pStyle w:val="Corps"/>
      </w:pPr>
      <w:r>
        <w:t xml:space="preserve">Les informations de négociation, le prix, les dossiers et données non publics sont protégés conformément à [Conditions de confidentialité], sous réserve des divulgations légalement requises. L'accès est limité aux personnes ayant besoin d'en connaître et assorti de mesures adaptées. Les informations publiques, déjà connues licitement ou reçues d'un tiers autorisé sont exclues. Une divulgation obligatoire est limitée et, lorsque possible, annoncée à l'autre partie.</w:t>
      </w:r>
    </w:p>
    <w:p>
      <w:pPr>
        <w:pStyle w:val="Intertitre"/>
      </w:pPr>
      <w:r>
        <w:t xml:space="preserve">Communication de l'opération</w:t>
      </w:r>
    </w:p>
    <w:p>
      <w:pPr>
        <w:pStyle w:val="Corps"/>
      </w:pPr>
      <w:r>
        <w:t xml:space="preserve">Toute annonce aux salariés, partenaires, licenciés, clients, autorités ou public suit [Procédure d'annonce]. Les inscriptions obligatoires ne sont pas soumises à un accord discrétionnaire. La procédure identifie les messages, destinataires, calendrier et personnes habilitées. Une partie peut accomplir seule une communication légalement requise après en avoir informé l'autre lorsque cela est possible. Aucun communiqué ne contient une garantie ou une information confidentielle non autorisée.</w:t>
      </w:r>
    </w:p>
    <w:p>
      <w:pPr>
        <w:pStyle w:val="Intertitre"/>
      </w:pPr>
      <w:r>
        <w:t xml:space="preserve">Intégralité et modifications</w:t>
      </w:r>
    </w:p>
    <w:p>
      <w:pPr>
        <w:pStyle w:val="Corps"/>
      </w:pPr>
      <w:r>
        <w:t xml:space="preserve">L'acte et ses annexes expriment l'accord relatif à la cession identifiée. Toute modification de son périmètre ou de son prix doit être établie par écrit par des représentants habilités. Les documents sont classés selon un ordre de priorité et leurs versions sont identifiées. Un échange préparatoire, une fiche de valorisation ou une déclaration marketing n'est pas intégré sans accord exprès. Une modification respecte les formes requises pour son inscription et son opposabilité.</w:t>
      </w:r>
    </w:p>
    <w:p>
      <w:pPr>
        <w:pStyle w:val="Intertitre"/>
      </w:pPr>
      <w:r>
        <w:t xml:space="preserve">Droit applicable et différends</w:t>
      </w:r>
    </w:p>
    <w:p>
      <w:pPr>
        <w:pStyle w:val="Corps"/>
      </w:pPr>
      <w:r>
        <w:t xml:space="preserve">Le droit applicable, la procédure amiable éventuelle et la juridiction compétente sont [Droit applicable et différends], sous réserve des règles impératives et de compétence exclusive. Avant toute saisine, les parties peuvent appliquer le processus amiable retenu sans laisser expirer un délai de recours ou de procédure devant un office. La clause de compétence n'écarte pas une compétence exclusive ni les règles propres à la validité et à l'inscription des marques.</w:t>
      </w:r>
    </w:p>
    <w:p>
      <w:pPr>
        <w:pStyle w:val="Intertitre"/>
      </w:pPr>
      <w:r>
        <w:t xml:space="preserve">Signatures</w:t>
      </w:r>
    </w:p>
    <w:p>
      <w:pPr>
        <w:pStyle w:val="Corps"/>
      </w:pPr>
      <w:r>
        <w:t xml:space="preserve">Fait à [Lieu de signature], le [Date de signature]. Le contrat est signé par [Noms des signataires] après vérification des pouvoirs, du tableau des marques, du prix et des stipulations applicables. Chaque signataire déclare disposer du pouvoir nécessaire et reçoit l'acte avec ses annexes identifiées. La signature distingue clairement la personne représentée, l'identité et la qualité du signataire. Le procédé garantit l'identification, la date, l'intégrité et la conservation de l'acte.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