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DÉVELOPPEMENT WEB ET D'INTÉGRATION</w:t>
      </w:r>
    </w:p>
    <w:p>
      <w:pPr>
        <w:pStyle w:val="Intertitre"/>
      </w:pPr>
      <w:r>
        <w:t xml:space="preserve">Prestataire</w:t>
      </w:r>
    </w:p>
    <w:p>
      <w:pPr>
        <w:pStyle w:val="Corps"/>
      </w:pPr>
      <w:r>
        <w:t xml:space="preserve">Le prestataire est [Nom partie a], établi [Adresse partie a]. Son identité, sa forme et les pouvoirs de la personne qui l'engage sont établis par [Preuve qualité partie a]. Aucune qualité technique, certification, propriété intellectuelle ou capacité de sous-traiter n'est présumée au-delà des pièces et déclarations expressément intégrées au contrat.</w:t>
      </w:r>
    </w:p>
    <w:p>
      <w:pPr>
        <w:pStyle w:val="Intertitre"/>
      </w:pPr>
      <w:r>
        <w:t xml:space="preserve">Client</w:t>
      </w:r>
    </w:p>
    <w:p>
      <w:pPr>
        <w:pStyle w:val="Corps"/>
      </w:pPr>
      <w:r>
        <w:t xml:space="preserve">Le client est [Nom partie b], établi [Adresse partie b]. Son identité, sa forme et les pouvoirs de la personne qui l'engage sont établis par [Preuve qualité partie b]. Le client désigne les interlocuteurs habilités à valider les spécifications, changements et recettes, sans que leurs échanges informels puissent modifier seuls le contrat.</w:t>
      </w:r>
    </w:p>
    <w:p>
      <w:pPr>
        <w:pStyle w:val="Intertitre"/>
      </w:pPr>
      <w:r>
        <w:t xml:space="preserve">Définitions</w:t>
      </w:r>
    </w:p>
    <w:p>
      <w:pPr>
        <w:pStyle w:val="Corps"/>
      </w:pPr>
      <w:r>
        <w:t xml:space="preserve">Les notions de service, livrable, code source, environnement, dépôt, composant tiers, donnée, anomalie, recette, mise en production et documentation ont le sens fixé dans [Definitions contractuelles]. Une définition ne peut étendre silencieusement le périmètre, transférer un droit, valider un livrable ou transformer une obligation de moyens en résultat garanti.</w:t>
      </w:r>
    </w:p>
    <w:p>
      <w:pPr>
        <w:pStyle w:val="Intertitre"/>
      </w:pPr>
      <w:r>
        <w:t xml:space="preserve">Objet</w:t>
      </w:r>
    </w:p>
    <w:p>
      <w:pPr>
        <w:pStyle w:val="Corps"/>
      </w:pPr>
      <w:r>
        <w:t xml:space="preserve">Le prestataire conçoit, développe ou intègre [Description service] dans les limites de [périmètre service]. Les travaux, interfaces, environnements, migrations, formations et livrables compris sont distingués des exclusions [Exclusions service]. Toute prestation non identifiée reste hors périmètre jusqu'à un accord écrit sur son contenu, son prix, son calendrier et ses incidences techniques.</w:t>
      </w:r>
    </w:p>
    <w:p>
      <w:pPr>
        <w:pStyle w:val="Intertitre"/>
      </w:pPr>
      <w:r>
        <w:t xml:space="preserve">Spécifications</w:t>
      </w:r>
    </w:p>
    <w:p>
      <w:pPr>
        <w:pStyle w:val="Corps"/>
      </w:pPr>
      <w:r>
        <w:t xml:space="preserve">Les spécifications fonctionnelles, techniques, d'accessibilité, de performance et d'interopérabilité validées sont [Specifications validees]. Chaque exigence vérifiable est associée aux critères [Criteres acceptation] et à une preuve attendue. Les maquettes, échanges ou démonstrations non intégrés à la version de référence n'ajoutent pas automatiquement une obligation au périmètre contractuel.</w:t>
      </w:r>
    </w:p>
    <w:p>
      <w:pPr>
        <w:pStyle w:val="Intertitre"/>
      </w:pPr>
      <w:r>
        <w:t xml:space="preserve">Méthode de réalisation</w:t>
      </w:r>
    </w:p>
    <w:p>
      <w:pPr>
        <w:pStyle w:val="Corps"/>
      </w:pPr>
      <w:r>
        <w:t xml:space="preserve">L'organisation du projet, les responsabilités, rituels, outils, environnements, dépôts, branches et règles de validation suivent [Methode realisation projet]. Les parties identifient qui arbitre les priorités et conserve les décisions. La méthode organise l'exécution mais ne permet pas de modifier le prix, le calendrier, les droits ou les critères de recette sans appliquer la procédure de changement.</w:t>
      </w:r>
    </w:p>
    <w:p>
      <w:pPr>
        <w:pStyle w:val="Intertitre"/>
      </w:pPr>
      <w:r>
        <w:t xml:space="preserve">Gestion des changements</w:t>
      </w:r>
    </w:p>
    <w:p>
      <w:pPr>
        <w:pStyle w:val="Corps"/>
      </w:pPr>
      <w:r>
        <w:t xml:space="preserve">Toute demande modifiant une fonctionnalité, un livrable, une dépendance, une contrainte de sécurité ou un calendrier suit [Procedure demande changement]. Le prestataire décrit l'impact sur charges, délais, prix, recette, maintenance et droits ; le client accepte ou refuse par un canal traçable. Aucun silence ni début d'étude ne vaut commande d'une évolution non chiffrée.</w:t>
      </w:r>
    </w:p>
    <w:p>
      <w:pPr>
        <w:pStyle w:val="Intertitre"/>
      </w:pPr>
      <w:r>
        <w:t xml:space="preserve">Code source et documentation</w:t>
      </w:r>
    </w:p>
    <w:p>
      <w:pPr>
        <w:pStyle w:val="Corps"/>
      </w:pPr>
      <w:r>
        <w:t xml:space="preserve">La livraison comprend les éléments identifiés dans [Contenu livraison code] : code source spécifique, historique ou état des dépôts, scripts, configurations, schémas, procédures de déploiement, documentation d'exploitation et éléments nécessaires à la reprise. Les secrets, données réelles, outils internes et composants non transférés sont séparés ; aucune remise n'est réputée effectuée sans support ou accès vérifiable.</w:t>
      </w:r>
    </w:p>
    <w:p>
      <w:pPr>
        <w:pStyle w:val="Intertitre"/>
      </w:pPr>
      <w:r>
        <w:t xml:space="preserve">Calendrier</w:t>
      </w:r>
    </w:p>
    <w:p>
      <w:pPr>
        <w:pStyle w:val="Corps"/>
      </w:pPr>
      <w:r>
        <w:t xml:space="preserve">Les phases, jalons, dépendances, prérequis, responsabilités et dates de décision figurent dans [Calendrier jalons]. Un retard est qualifié selon [Procedure retard] en distinguant cause du prestataire, contribution tardive du client, changement accepté, tiers ou événement extérieur. Toute nouvelle date est confirmée avec ses conséquences ; une alerte ne constitue ni renonciation ni reconnaissance automatique de responsabilité.</w:t>
      </w:r>
    </w:p>
    <w:p>
      <w:pPr>
        <w:pStyle w:val="Intertitre"/>
      </w:pPr>
      <w:r>
        <w:t xml:space="preserve">Recette</w:t>
      </w:r>
    </w:p>
    <w:p>
      <w:pPr>
        <w:pStyle w:val="Corps"/>
      </w:pPr>
      <w:r>
        <w:t xml:space="preserve">La recette est conduite dans les environnements, délais, jeux d'essai et formes de notification prévus par [Protocole recette]. Les anomalies sont reproduites, classées, corrigées et retestées selon [Classification et correction anomalies]. L'acceptation, l'acceptation avec réserves et le refus motivé sont distingués ; la mise en production ne purge pas une réserve expressément maintenue.</w:t>
      </w:r>
    </w:p>
    <w:p>
      <w:pPr>
        <w:pStyle w:val="Intertitre"/>
      </w:pPr>
      <w:r>
        <w:t xml:space="preserve">Prix et facturation</w:t>
      </w:r>
    </w:p>
    <w:p>
      <w:pPr>
        <w:pStyle w:val="Corps"/>
      </w:pPr>
      <w:r>
        <w:t xml:space="preserve">Le prix, son caractère forfaitaire ou unitaire, les échéances, taxes, conditions de facturation et événements déclencheurs sont décrits par [Conditions prix facturation]. Les frais ne sont remboursables que selon [Politique frais] et sur justificatifs. Un changement, une attente ou une intervention hors horaires n'est facturable que selon le mécanisme contractuel applicable et une trace permettant d'en contrôler l'assiette.</w:t>
      </w:r>
    </w:p>
    <w:p>
      <w:pPr>
        <w:pStyle w:val="Intertitre"/>
      </w:pPr>
      <w:r>
        <w:t xml:space="preserve">Obligations du client</w:t>
      </w:r>
    </w:p>
    <w:p>
      <w:pPr>
        <w:pStyle w:val="Corps"/>
      </w:pPr>
      <w:r>
        <w:t xml:space="preserve">Le client fournit les contenus, accès, décisions, environnements, jeux d'essai et validations définis dans [Contributions client] selon [Calendrier contributions client]. Il vérifie ses droits sur les éléments remis et signale les contraintes connues. Un défaut de contribution n'exonère le prestataire que pour ses conséquences démontrées et après l'alerte et les mesures de réduction prévues au contrat.</w:t>
      </w:r>
    </w:p>
    <w:p>
      <w:pPr>
        <w:pStyle w:val="Intertitre"/>
      </w:pPr>
      <w:r>
        <w:t xml:space="preserve">Sécurité</w:t>
      </w:r>
    </w:p>
    <w:p>
      <w:pPr>
        <w:pStyle w:val="Corps"/>
      </w:pPr>
      <w:r>
        <w:t xml:space="preserve">Les exigences de contrôle d'accès, journalisation, développement sécurisé, vulnérabilités, sauvegardes, environnements et gestion des secrets sont fixées dans [Exigences sécurité]. Tout incident suit [Procedure incident sécurité] avec qualification, confinement, conservation des preuves, information et correction. Le contrat ne prétend pas garantir une sécurité absolue et distingue les responsabilités propres à chaque environnement.</w:t>
      </w:r>
    </w:p>
    <w:p>
      <w:pPr>
        <w:pStyle w:val="Intertitre"/>
      </w:pPr>
      <w:r>
        <w:t xml:space="preserve">Clause optionnelle : Données personnelles</w:t>
      </w:r>
    </w:p>
    <w:p>
      <w:pPr>
        <w:pStyle w:val="Corps"/>
      </w:pPr>
      <w:r>
        <w:t xml:space="preserve">Lorsque le service implique un traitement de données personnelles pour le compte du client, les rôles, finalités, catégories, durées, instructions, mesures, sous-traitants ultérieurs, assistance et sort des données sont définis dans [Cadre traitement données]. L'annexe de sous-traitance requise est jointe avant le traitement ; aucune donnée réelle n'est utilisée en test sans base, autorisation et protection adaptées.</w:t>
      </w:r>
    </w:p>
    <w:p>
      <w:pPr>
        <w:pStyle w:val="Intertitre"/>
      </w:pPr>
      <w:r>
        <w:t xml:space="preserve">Éléments préexistants</w:t>
      </w:r>
    </w:p>
    <w:p>
      <w:pPr>
        <w:pStyle w:val="Corps"/>
      </w:pPr>
      <w:r>
        <w:t xml:space="preserve">Les bibliothèques, méthodes, outils, gabarits, savoir-faire, composants et contenus antérieurs ou développés indépendamment sont inventoriés dans [Inventaire droits preexistants]. Ils restent soumis à leurs titres et licences. Leur incorporation dans un livrable n'emporte pas transfert implicite ; les droits nécessaires à l'usage du résultat sont accordés dans la mesure expressément identifiée.</w:t>
      </w:r>
    </w:p>
    <w:p>
      <w:pPr>
        <w:pStyle w:val="Intertitre"/>
      </w:pPr>
      <w:r>
        <w:t xml:space="preserve">Quel régime de droits retenir pour les résultats spécifiques ? — choisir une seule variante</w:t>
      </w:r>
    </w:p>
    <w:p>
      <w:pPr>
        <w:pStyle w:val="Variante"/>
      </w:pPr>
      <w:r>
        <w:t xml:space="preserve">Variante : Licence sur les résultats spécifiques</w:t>
      </w:r>
    </w:p>
    <w:p>
      <w:pPr>
        <w:pStyle w:val="Corps"/>
      </w:pPr>
      <w:r>
        <w:t xml:space="preserve">Le client reçoit une licence sur les résultats spécifiques selon [Matrice droits resultats]. Les droits autorisés, leur destination, territoire, durée, bénéficiaires, faculté de modification, reproduction, maintenance et recours à un tiers sont énumérés. Tout droit non accordé demeure à son titulaire ; la licence n'étend pas les droits sur les composants préexistants ou tiers.</w:t>
      </w:r>
    </w:p>
    <w:p>
      <w:pPr>
        <w:pStyle w:val="Intertitre"/>
      </w:pPr>
      <w:r>
        <w:t xml:space="preserve">Composants tiers</w:t>
      </w:r>
    </w:p>
    <w:p>
      <w:pPr>
        <w:pStyle w:val="Corps"/>
      </w:pPr>
      <w:r>
        <w:t xml:space="preserve">Les composants, services, polices, API, contenus et dépendances tiers sont consignés dans [Registre composants tiers] avec leur version, licence, obligations, restrictions, coûts et politique de mise à jour. Leur compatibilité avec l'usage, la distribution et le régime de droits retenu est contrôlée avant livraison. Le prestataire signale toute dépendance dont la substitution affecterait substantiellement le service.</w:t>
      </w:r>
    </w:p>
    <w:p>
      <w:pPr>
        <w:pStyle w:val="Intertitre"/>
      </w:pPr>
      <w:r>
        <w:t xml:space="preserve">Garanties</w:t>
      </w:r>
    </w:p>
    <w:p>
      <w:pPr>
        <w:pStyle w:val="Corps"/>
      </w:pPr>
      <w:r>
        <w:t xml:space="preserve">Les garanties convenues sur la conformité, l'éviction, la correction et le respect des spécifications sont définies dans [Garanties contractuelles] avec leurs durées, procédures et remèdes. Les exclusions [Exclusions garanties] sont interprétées strictement. Aucune garantie ne couvre une modification non autorisée, un environnement non conforme ou un composant tiers au-delà de ce qui est expressément assumé.</w:t>
      </w:r>
    </w:p>
    <w:p>
      <w:pPr>
        <w:pStyle w:val="Intertitre"/>
      </w:pPr>
      <w:r>
        <w:t xml:space="preserve">Responsabilité</w:t>
      </w:r>
    </w:p>
    <w:p>
      <w:pPr>
        <w:pStyle w:val="Corps"/>
      </w:pPr>
      <w:r>
        <w:t xml:space="preserve">La responsabilité est répartie selon [Regime responsabilité] en distinguant obligations, dommages directs, exclusions, plafonds, franchises, notification et réduction du dommage. Une limitation ne neutralise pas l'obligation essentielle correspondante et ne s'applique pas lorsqu'une règle impérative l'interdit. Les données, pertes d'exploitation, droits de tiers et incidents de sécurité sont traités selon les risques effectivement attribués.</w:t>
      </w:r>
    </w:p>
    <w:p>
      <w:pPr>
        <w:pStyle w:val="Intertitre"/>
      </w:pPr>
      <w:r>
        <w:t xml:space="preserve">Confidentialité</w:t>
      </w:r>
    </w:p>
    <w:p>
      <w:pPr>
        <w:pStyle w:val="Corps"/>
      </w:pPr>
      <w:r>
        <w:t xml:space="preserve">Les informations protégées, leurs marquages ou circonstances, les personnes autorisées, mesures de protection, exceptions, durée et modalités de restitution sont définis dans [Regime confidentialite]. Les informations déjà connues, publiques, reçues licitement ou développées indépendamment sont distinguées. Une divulgation légalement requise fait l'objet, lorsque permis, d'une information préalable et d'une limitation au strict nécessaire.</w:t>
      </w:r>
    </w:p>
    <w:p>
      <w:pPr>
        <w:pStyle w:val="Intertitre"/>
      </w:pPr>
      <w:r>
        <w:t xml:space="preserve">Durée</w:t>
      </w:r>
    </w:p>
    <w:p>
      <w:pPr>
        <w:pStyle w:val="Corps"/>
      </w:pPr>
      <w:r>
        <w:t xml:space="preserve">Le contrat prend effet le [Date effet contrat] pour [durée contrat]. Les éventuels renouvellements, préavis et effets d'une poursuite sont déterminés par [Renouvellement contrat]. La durée du projet, celle des garanties, de la maintenance, de la confidentialité, des licences et de la conservation des données sont distinguées afin qu'aucune obligation ne survive sans terme ou événement identifiable.</w:t>
      </w:r>
    </w:p>
    <w:p>
      <w:pPr>
        <w:pStyle w:val="Intertitre"/>
      </w:pPr>
      <w:r>
        <w:t xml:space="preserve">Clause optionnelle : Maintenance post-livraison</w:t>
      </w:r>
    </w:p>
    <w:p>
      <w:pPr>
        <w:pStyle w:val="Corps"/>
      </w:pPr>
      <w:r>
        <w:t xml:space="preserve">Lorsque la maintenance est retenue, son périmètre, ses niveaux de service, horaires, exclusions, canaux, délais de prise en charge, mises à jour, sécurité, prix et conditions de fin sont définis dans [Conditions de maintenance]. La correction au titre de la recette ou d'une garantie reste distincte de la maintenance évolutive et de l'assistance facturable.</w:t>
      </w:r>
    </w:p>
    <w:p>
      <w:pPr>
        <w:pStyle w:val="Intertitre"/>
      </w:pPr>
      <w:r>
        <w:t xml:space="preserve">Réversibilité et fin</w:t>
      </w:r>
    </w:p>
    <w:p>
      <w:pPr>
        <w:pStyle w:val="Corps"/>
      </w:pPr>
      <w:r>
        <w:t xml:space="preserve">À la fin du contrat, la réversibilité suit [Plan reversibilite] : remise des versions, documentation, accès, exports, inventaires, assistance et calendrier. Les données, comptes et secrets sont restitués, transférés ou supprimés selon [Sort données et acces] avec preuve adaptée. Les paiements acquis, réserves, garanties, droits et obligations survivantes sont traités sans interrompre brutalement les opérations critiques convenues.</w:t>
      </w:r>
    </w:p>
    <w:p>
      <w:pPr>
        <w:pStyle w:val="Intertitre"/>
      </w:pPr>
      <w:r>
        <w:t xml:space="preserve">Annexes</w:t>
      </w:r>
    </w:p>
    <w:p>
      <w:pPr>
        <w:pStyle w:val="Corps"/>
      </w:pPr>
      <w:r>
        <w:t xml:space="preserve">Les spécifications, planning, prix, matrice de responsabilités, critères de recette, sécurité, données, composants tiers, droits, maintenance et réversibilité figurent dans [Liste annexes techniques]. Leur ordre de priorité est [Ordre priorite documents]. Chaque annexe est datée et identifiée ; une pièce absente, un lien modifiable ou une version non approuvée n'est pas réputé incorporé au contrat.</w:t>
      </w:r>
    </w:p>
    <w:p>
      <w:pPr>
        <w:pStyle w:val="Intertitre"/>
      </w:pPr>
      <w:r>
        <w:t xml:space="preserve">Signature</w:t>
      </w:r>
    </w:p>
    <w:p>
      <w:pPr>
        <w:pStyle w:val="Corps"/>
      </w:pPr>
      <w:r>
        <w:t xml:space="preserve">Fait à [Lieu signature], le [Date signature]. Pour le prestataire, [Nom signataire] signe en qualité de [qualité signataire] sur le fondement de [Preuve pouvoir signataire]. Pour le client, [Nom du signataire du client] signe en qualité de [Qualité du signataire du client] sur le fondement de [Preuve du pouvoir du signataire du client]. Chaque partie reçoit le texte complet et ses annexes identifiées.</w:t>
      </w:r>
    </w:p>
    <w:p>
      <w:pPr>
        <w:pStyle w:val="Intertitre"/>
      </w:pPr>
      <w:r>
        <w:t xml:space="preserve">Quel régime de droits retenir pour les résultats spécifiques ? — choisir une seule variante</w:t>
      </w:r>
    </w:p>
    <w:p>
      <w:pPr>
        <w:pStyle w:val="Variante"/>
      </w:pPr>
      <w:r>
        <w:t xml:space="preserve">Variante : Cession des résultats spécifiques</w:t>
      </w:r>
    </w:p>
    <w:p>
      <w:pPr>
        <w:pStyle w:val="Corps"/>
      </w:pPr>
      <w:r>
        <w:t xml:space="preserve">Les droits patrimoniaux sur les créations spécifiques identifiées sont cédés selon [Cession droits resultats specifiques]. Chaque droit cédé, son étendue, sa destination, son territoire, sa durée et sa rémunération sont distingués ; la cession ne couvre ni les outils préexistants, ni les composants tiers, ni les contributions non identifiées. Les éléments permettant d'exercer les droits sont remis avec le livrable.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