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CONTRAT DE LICENCE ET DE SERVICE SAAS</w:t>
      </w:r>
    </w:p>
    <w:p>
      <w:pPr>
        <w:pStyle w:val="Intertitre"/>
      </w:pPr>
      <w:r>
        <w:t xml:space="preserve">Prestataire</w:t>
      </w:r>
    </w:p>
    <w:p>
      <w:pPr>
        <w:pStyle w:val="Corps"/>
      </w:pPr>
      <w:r>
        <w:t xml:space="preserve">Le fournisseur est [Nom partie a], établi [Adresse partie a]. Son identité, sa forme et les pouvoirs de la personne qui l'engage sont établis par [Preuve qualité partie a]. Aucune certification, localisation d'hébergement, capacité de sous-traitance ou propriété sur le logiciel n'est présumée au-delà des pièces et engagements expressément intégrés.</w:t>
      </w:r>
    </w:p>
    <w:p>
      <w:pPr>
        <w:pStyle w:val="Intertitre"/>
      </w:pPr>
      <w:r>
        <w:t xml:space="preserve">Client</w:t>
      </w:r>
    </w:p>
    <w:p>
      <w:pPr>
        <w:pStyle w:val="Corps"/>
      </w:pPr>
      <w:r>
        <w:t xml:space="preserve">Le client est [Nom partie b], établi [Adresse partie b]. Son identité, sa forme et les pouvoirs de la personne qui l'engage sont établis par [Preuve qualité partie b]. Il désigne les administrateurs habilités à gérer les comptes, les utilisateurs, les paramètres et les demandes sans permettre à un échange informel de modifier seul le contrat.</w:t>
      </w:r>
    </w:p>
    <w:p>
      <w:pPr>
        <w:pStyle w:val="Intertitre"/>
      </w:pPr>
      <w:r>
        <w:t xml:space="preserve">Définitions</w:t>
      </w:r>
    </w:p>
    <w:p>
      <w:pPr>
        <w:pStyle w:val="Corps"/>
      </w:pPr>
      <w:r>
        <w:t xml:space="preserve">Les termes service, instance, compte, utilisateur, disponibilité, maintenance, incident, donnée client, export, composant tiers et documentation ont le sens fixé dans [Definitions contractuelles]. Une définition ne peut étendre l'accès autorisé, valider une performance, transférer un droit ou réduire une obligation de sécurité sans clause opérationnelle correspondante.</w:t>
      </w:r>
    </w:p>
    <w:p>
      <w:pPr>
        <w:pStyle w:val="Intertitre"/>
      </w:pPr>
      <w:r>
        <w:t xml:space="preserve">Objet</w:t>
      </w:r>
    </w:p>
    <w:p>
      <w:pPr>
        <w:pStyle w:val="Corps"/>
      </w:pPr>
      <w:r>
        <w:t xml:space="preserve">Le fournisseur met à disposition [Description service] dans le périmètre [périmètre service] et hors des exclusions [Exclusions service]. Les modules, environnements, volumes, interfaces, prestations d'accompagnement et limites sont individualisés. Une fonctionnalité annoncée, une feuille de route ou un essai non incorporé n'est pas une obligation contractuelle acquise.</w:t>
      </w:r>
    </w:p>
    <w:p>
      <w:pPr>
        <w:pStyle w:val="Intertitre"/>
      </w:pPr>
      <w:r>
        <w:t xml:space="preserve">Spécifications</w:t>
      </w:r>
    </w:p>
    <w:p>
      <w:pPr>
        <w:pStyle w:val="Corps"/>
      </w:pPr>
      <w:r>
        <w:t xml:space="preserve">Les fonctionnalités, capacités, compatibilités, formats, navigateurs, interfaces, contraintes d'usage et performances convenues figurent dans [Specifications validees]. Elles sont vérifiées selon [Criteres acceptation]. Une évolution standard du service ne peut supprimer une caractéristique essentielle promise sans appliquer la procédure d'information, de remède ou de sortie prévue.</w:t>
      </w:r>
    </w:p>
    <w:p>
      <w:pPr>
        <w:pStyle w:val="Intertitre"/>
      </w:pPr>
      <w:r>
        <w:t xml:space="preserve">Droit d'utilisation SaaS</w:t>
      </w:r>
    </w:p>
    <w:p>
      <w:pPr>
        <w:pStyle w:val="Corps"/>
      </w:pPr>
      <w:r>
        <w:t xml:space="preserve">Le fournisseur accorde au client un droit personnel, limité et non exclusif d'accéder au service conformément à [périmètre licence saas]. Les utilisateurs, entités bénéficiaires, volumes, territoires, finalités et restrictions sont identifiés. Aucun accès ne transfère le logiciel, son code source ou les droits sur la plateforme ; les usages interdits sont définis sans empêcher les droits impératifs applicables.</w:t>
      </w:r>
    </w:p>
    <w:p>
      <w:pPr>
        <w:pStyle w:val="Intertitre"/>
      </w:pPr>
      <w:r>
        <w:t xml:space="preserve">Niveaux de service</w:t>
      </w:r>
    </w:p>
    <w:p>
      <w:pPr>
        <w:pStyle w:val="Corps"/>
      </w:pPr>
      <w:r>
        <w:t xml:space="preserve">La disponibilité, les fenêtres de mesure, exclusions, heures de support, priorités d'incident, délais de prise en charge, rétablissement, information et éventuels avoirs sont définis dans [Niveaux service sla]. Les mesures proviennent de sources identifiées et les périodes exclues sont traçables. Un avoir éventuel n'éteint pas automatiquement tout autre remède applicable.</w:t>
      </w:r>
    </w:p>
    <w:p>
      <w:pPr>
        <w:pStyle w:val="Intertitre"/>
      </w:pPr>
      <w:r>
        <w:t xml:space="preserve">Hébergement</w:t>
      </w:r>
    </w:p>
    <w:p>
      <w:pPr>
        <w:pStyle w:val="Corps"/>
      </w:pPr>
      <w:r>
        <w:t xml:space="preserve">Les lieux ou zones d'hébergement, prestataires, sauvegardes, réplications, maintenance, supervision, capacité et reprise sont décrits dans [Dispositif hebergement continuite]. Le fournisseur distingue disponibilité du service, conservation des données et restauration. Aucun lieu, délai de reprise ou niveau de redondance n'est supposé en l'absence d'un engagement et d'une preuve correspondants.</w:t>
      </w:r>
    </w:p>
    <w:p>
      <w:pPr>
        <w:pStyle w:val="Intertitre"/>
      </w:pPr>
      <w:r>
        <w:t xml:space="preserve">Clause optionnelle : Plan de continuité renforcé</w:t>
      </w:r>
    </w:p>
    <w:p>
      <w:pPr>
        <w:pStyle w:val="Corps"/>
      </w:pPr>
      <w:r>
        <w:t xml:space="preserve">Lorsque cette option est retenue, les scénarios de crise, responsabilités, communications, dépendances, tests, priorités et objectifs de reprise sont définis dans [Objectifs de continuité et de reprise]. Les objectifs de temps et de perte de données sont mesurables et cohérents avec l'architecture ; aucun résultat n'est affirmé sans test ou preuve correspondante.</w:t>
      </w:r>
    </w:p>
    <w:p>
      <w:pPr>
        <w:pStyle w:val="Intertitre"/>
      </w:pPr>
      <w:r>
        <w:t xml:space="preserve">Calendrier</w:t>
      </w:r>
    </w:p>
    <w:p>
      <w:pPr>
        <w:pStyle w:val="Corps"/>
      </w:pPr>
      <w:r>
        <w:t xml:space="preserve">Les étapes d'ouverture, paramétrage, migration, recette et mise en service figurent dans [Calendrier jalons] avec leurs prérequis. Les retards suivent [Procedure retard] en distinguant fournisseur, client, changement, tiers ou événement extérieur. Une date révisée est confirmée avec ses conséquences et ne vaut pas renonciation aux réserves antérieures.</w:t>
      </w:r>
    </w:p>
    <w:p>
      <w:pPr>
        <w:pStyle w:val="Intertitre"/>
      </w:pPr>
      <w:r>
        <w:t xml:space="preserve">Recette</w:t>
      </w:r>
    </w:p>
    <w:p>
      <w:pPr>
        <w:pStyle w:val="Corps"/>
      </w:pPr>
      <w:r>
        <w:t xml:space="preserve">Le paramétrage initial, les interfaces et développements spécifiques sont vérifiés selon [Protocole recette]. Les anomalies sont reproduites, classées et corrigées suivant [Classification et correction anomalies]. L'accès au service standard ne vaut pas acceptation silencieuse d'un livrable spécifique ; acceptation, réserves et refus motivé produisent les seuls effets convenus.</w:t>
      </w:r>
    </w:p>
    <w:p>
      <w:pPr>
        <w:pStyle w:val="Intertitre"/>
      </w:pPr>
      <w:r>
        <w:t xml:space="preserve">Prix et facturation</w:t>
      </w:r>
    </w:p>
    <w:p>
      <w:pPr>
        <w:pStyle w:val="Corps"/>
      </w:pPr>
      <w:r>
        <w:t xml:space="preserve">Les abonnements, métriques, paliers, dépassements, échéances, taxes, révisions et conditions de facturation sont définis dans [Conditions prix facturation]. Les frais suivent [Politique frais] et des justificatifs. Le fournisseur ne modifie pas une unité, un volume inclus ou un prix par une donnée non annoncée ; toute suspension pour impayé suit les préavis et limites convenus.</w:t>
      </w:r>
    </w:p>
    <w:p>
      <w:pPr>
        <w:pStyle w:val="Intertitre"/>
      </w:pPr>
      <w:r>
        <w:t xml:space="preserve">Obligations du client</w:t>
      </w:r>
    </w:p>
    <w:p>
      <w:pPr>
        <w:pStyle w:val="Corps"/>
      </w:pPr>
      <w:r>
        <w:t xml:space="preserve">Le client fournit les accès, données, décisions, configurations et interlocuteurs décrits dans [Contributions client] selon [Calendrier contributions client]. Il gère les habilitations et l'usage de ses comptes, vérifie ses droits sur les données et signale les incidents. Un manquement ne libère le fournisseur que pour ses conséquences démontrées après alerte et mesures raisonnables.</w:t>
      </w:r>
    </w:p>
    <w:p>
      <w:pPr>
        <w:pStyle w:val="Intertitre"/>
      </w:pPr>
      <w:r>
        <w:t xml:space="preserve">Sécurité</w:t>
      </w:r>
    </w:p>
    <w:p>
      <w:pPr>
        <w:pStyle w:val="Corps"/>
      </w:pPr>
      <w:r>
        <w:t xml:space="preserve">Les mesures d'authentification, habilitation, chiffrement, journalisation, vulnérabilités, sauvegarde, développement et suppression suivent [Exigences sécurité]. Les incidents sont qualifiés, contenus, documentés, notifiés et corrigés selon [Procedure incident sécurité]. Les responsabilités du fournisseur et du client sont séparées ; aucune sécurité absolue ni conformité non auditée n'est affirmée.</w:t>
      </w:r>
    </w:p>
    <w:p>
      <w:pPr>
        <w:pStyle w:val="Intertitre"/>
      </w:pPr>
      <w:r>
        <w:t xml:space="preserve">Clause optionnelle : Données personnelles</w:t>
      </w:r>
    </w:p>
    <w:p>
      <w:pPr>
        <w:pStyle w:val="Corps"/>
      </w:pPr>
      <w:r>
        <w:t xml:space="preserve">Lorsque le fournisseur traite des données personnelles pour le client, les rôles, finalités, catégories, durées, instructions, mesures, transferts, sous-traitants ultérieurs, assistance et sort des données figurent dans [Cadre traitement données]. L'annexe requise est conclue avant traitement ; aucune donnée réelle n'est utilisée pour une autre finalité sans base distincte.</w:t>
      </w:r>
    </w:p>
    <w:p>
      <w:pPr>
        <w:pStyle w:val="Intertitre"/>
      </w:pPr>
      <w:r>
        <w:t xml:space="preserve">Éléments préexistants</w:t>
      </w:r>
    </w:p>
    <w:p>
      <w:pPr>
        <w:pStyle w:val="Corps"/>
      </w:pPr>
      <w:r>
        <w:t xml:space="preserve">La plateforme, ses moteurs, bibliothèques, méthodes, outils, modèles, savoir-faire et contenus antérieurs sont inventoriés dans [Inventaire droits preexistants]. Ils restent soumis à leurs titres et licences. L'abonnement n'emporte aucun transfert implicite ; les droits nécessaires à l'usage des éléments incorporés sont accordés uniquement dans la mesure prévue.</w:t>
      </w:r>
    </w:p>
    <w:p>
      <w:pPr>
        <w:pStyle w:val="Intertitre"/>
      </w:pPr>
      <w:r>
        <w:t xml:space="preserve">Quel régime retenir pour les développements spécifiques ? — choisir une seule variante</w:t>
      </w:r>
    </w:p>
    <w:p>
      <w:pPr>
        <w:pStyle w:val="Variante"/>
      </w:pPr>
      <w:r>
        <w:t xml:space="preserve">Variante : Licence sur les développements spécifiques</w:t>
      </w:r>
    </w:p>
    <w:p>
      <w:pPr>
        <w:pStyle w:val="Corps"/>
      </w:pPr>
      <w:r>
        <w:t xml:space="preserve">Les résultats spécifiques réalisés pour le client sont concédés en licence selon [Matrice droits resultats]. Les droits, destination, territoire, durée, bénéficiaires, modification, maintenance et recours à un tiers sont énumérés. Cette licence ne s'étend pas au cœur SaaS, aux outils préexistants ou aux composants tiers et survit seulement selon la durée convenue.</w:t>
      </w:r>
    </w:p>
    <w:p>
      <w:pPr>
        <w:pStyle w:val="Intertitre"/>
      </w:pPr>
      <w:r>
        <w:t xml:space="preserve">Composants tiers</w:t>
      </w:r>
    </w:p>
    <w:p>
      <w:pPr>
        <w:pStyle w:val="Corps"/>
      </w:pPr>
      <w:r>
        <w:t xml:space="preserve">Les hébergeurs, services, bibliothèques, API, polices et autres dépendances sont recensés dans [Registre composants tiers] avec versions, licences, restrictions, coûts et conditions de remplacement. Leur compatibilité avec l'usage et le régime de droits est contrôlée. Une dépendance critique ou un changement substantiel est signalé avec son impact et les mesures proposées.</w:t>
      </w:r>
    </w:p>
    <w:p>
      <w:pPr>
        <w:pStyle w:val="Intertitre"/>
      </w:pPr>
      <w:r>
        <w:t xml:space="preserve">Garanties</w:t>
      </w:r>
    </w:p>
    <w:p>
      <w:pPr>
        <w:pStyle w:val="Corps"/>
      </w:pPr>
      <w:r>
        <w:t xml:space="preserve">Les garanties de conformité, disponibilité, non-régression, correction et éviction sont définies dans [Garanties contractuelles] avec leurs durées, procédures et remèdes. Les exclusions [Exclusions garanties] sont interprétées strictement. Elles ne couvrent pas une utilisation non autorisée, une configuration du client ou un service tiers au-delà des engagements expressément assumés.</w:t>
      </w:r>
    </w:p>
    <w:p>
      <w:pPr>
        <w:pStyle w:val="Intertitre"/>
      </w:pPr>
      <w:r>
        <w:t xml:space="preserve">Responsabilité</w:t>
      </w:r>
    </w:p>
    <w:p>
      <w:pPr>
        <w:pStyle w:val="Corps"/>
      </w:pPr>
      <w:r>
        <w:t xml:space="preserve">Le régime [Regime responsabilité] distingue obligations, dommages directs, exclusions, plafonds, notification, réduction du dommage et risques propres aux données, indisponibilités et droits de tiers. Une limitation ne neutralise pas une obligation essentielle et ne s'applique pas lorsque la loi l'interdit. Les plafonds et exceptions sont rattachés à une assiette vérifiable.</w:t>
      </w:r>
    </w:p>
    <w:p>
      <w:pPr>
        <w:pStyle w:val="Intertitre"/>
      </w:pPr>
      <w:r>
        <w:t xml:space="preserve">Confidentialité</w:t>
      </w:r>
    </w:p>
    <w:p>
      <w:pPr>
        <w:pStyle w:val="Corps"/>
      </w:pPr>
      <w:r>
        <w:t xml:space="preserve">Les informations protégées, personnes autorisées, mesures, exceptions, durée, restitution et destruction sont définies dans [Regime confidentialite]. Les données client restent distinctes des informations commerciales du fournisseur. Une divulgation légalement requise fait, lorsque permis, l'objet d'une information préalable et d'une limitation ; aucune réutilisation n'est déduite d'un simple accès technique.</w:t>
      </w:r>
    </w:p>
    <w:p>
      <w:pPr>
        <w:pStyle w:val="Intertitre"/>
      </w:pPr>
      <w:r>
        <w:t xml:space="preserve">Durée</w:t>
      </w:r>
    </w:p>
    <w:p>
      <w:pPr>
        <w:pStyle w:val="Corps"/>
      </w:pPr>
      <w:r>
        <w:t xml:space="preserve">Le contrat prend effet le [Date effet contrat] pour [durée contrat] selon [Renouvellement contrat]. La période initiale, le renouvellement, la dénonciation, les préavis et les effets d'une poursuite sont séparés. Les durées des accès, sauvegardes, garanties, confidentialité, réversibilité et conservation des preuves restent rattachées à leur propre clause.</w:t>
      </w:r>
    </w:p>
    <w:p>
      <w:pPr>
        <w:pStyle w:val="Intertitre"/>
      </w:pPr>
      <w:r>
        <w:t xml:space="preserve">Réversibilité et fin</w:t>
      </w:r>
    </w:p>
    <w:p>
      <w:pPr>
        <w:pStyle w:val="Corps"/>
      </w:pPr>
      <w:r>
        <w:t xml:space="preserve">À la fin, la transition suit [Plan reversibilite] : calendrier, assistance, formats, exports, documentation, comptes et responsabilités. Les données et accès sont restitués, transférés ou supprimés selon [Sort données et acces] avec preuve adaptée. Le fournisseur maintient les accès de sortie convenus sans conserver indéfiniment des copies ni rendre la portabilité dépendante d'une information non fournie.</w:t>
      </w:r>
    </w:p>
    <w:p>
      <w:pPr>
        <w:pStyle w:val="Intertitre"/>
      </w:pPr>
      <w:r>
        <w:t xml:space="preserve">Annexes</w:t>
      </w:r>
    </w:p>
    <w:p>
      <w:pPr>
        <w:pStyle w:val="Corps"/>
      </w:pPr>
      <w:r>
        <w:t xml:space="preserve">Les fonctionnalités, volumes, prix, SLA, sécurité, traitement des données, sous-traitants, droits, composants tiers, support et réversibilité figurent dans [Liste annexes techniques] selon l'ordre [Ordre priorite documents]. Chaque annexe est datée et versionnée ; une page web modifiable, un lien rompu ou une pièce absente n'est pas réputé incorporé.</w:t>
      </w:r>
    </w:p>
    <w:p>
      <w:pPr>
        <w:pStyle w:val="Intertitre"/>
      </w:pPr>
      <w:r>
        <w:t xml:space="preserve">Signature</w:t>
      </w:r>
    </w:p>
    <w:p>
      <w:pPr>
        <w:pStyle w:val="Corps"/>
      </w:pPr>
      <w:r>
        <w:t xml:space="preserve">Fait à [Lieu signature], le [Date signature]. Pour le fournisseur, [Nom signataire] signe en qualité de [qualité signataire] sur le fondement de [Preuve pouvoir signataire]. Pour le client, [Nom du signataire du client] signe en qualité de [Qualité du signataire du client] sur le fondement de [Preuve du pouvoir du signataire du client]. Chaque partie reçoit le contrat et ses annexes.</w:t>
      </w:r>
    </w:p>
    <w:p>
      <w:pPr>
        <w:pStyle w:val="Intertitre"/>
      </w:pPr>
      <w:r>
        <w:t xml:space="preserve">Quel régime retenir pour les développements spécifiques ? — choisir une seule variante</w:t>
      </w:r>
    </w:p>
    <w:p>
      <w:pPr>
        <w:pStyle w:val="Variante"/>
      </w:pPr>
      <w:r>
        <w:t xml:space="preserve">Variante : Cession des développements spécifiques</w:t>
      </w:r>
    </w:p>
    <w:p>
      <w:pPr>
        <w:pStyle w:val="Corps"/>
      </w:pPr>
      <w:r>
        <w:t xml:space="preserve">Les droits patrimoniaux sur les seuls développements spécifiques identifiés sont cédés selon [Cession droits resultats specifiques]. Chaque droit, sa destination, son territoire, sa durée et sa rémunération sont distingués. La cession exclut le cœur SaaS, les outils génériques, composants tiers et apports non identifiés ; les éléments nécessaires à l'exercice des droits sont remis.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