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MAINTENANCE INFORMATIQUE</w:t>
      </w:r>
    </w:p>
    <w:p>
      <w:pPr>
        <w:pStyle w:val="Intertitre"/>
      </w:pPr>
      <w:r>
        <w:t xml:space="preserve">Identification des parties</w:t>
      </w:r>
    </w:p>
    <w:p>
      <w:pPr>
        <w:pStyle w:val="Corps"/>
      </w:pPr>
      <w:r>
        <w:t xml:space="preserve">Le contrat est conclu entre [Nom du client], agissant en qualité de [Qualité du client], ci-après le Client, et [Nom du mainteneur], agissant en qualité de [Qualité du prestataire de maintenance], ci-après le Mainteneur. Chaque partie communique sa dénomination complète, son adresse, son immatriculation et l'identité du signataire habilité. Elle notifie sans délai tout changement affectant sa représentation, ses coordonnées contractuelles ou sa capacité à exécuter les obligations convenues.</w:t>
      </w:r>
    </w:p>
    <w:p>
      <w:pPr>
        <w:pStyle w:val="Intertitre"/>
      </w:pPr>
      <w:r>
        <w:t xml:space="preserve">Contacts habilités</w:t>
      </w:r>
    </w:p>
    <w:p>
      <w:pPr>
        <w:pStyle w:val="Corps"/>
      </w:pPr>
      <w:r>
        <w:t xml:space="preserve">Les personnes habilitées à ouvrir, suivre, escalader et clôturer les demandes sont [Contacts autorisés]. La liste précise pour chaque contact son rôle, ses coordonnées, sa plage de disponibilité et son niveau d'escalade. Toute modification est notifiée par le canal contractuel convenu et devient opposable après accusé de réception. Un contact opérationnel ne peut modifier le périmètre, le prix ou les responsabilités sans pouvoir exprès.</w:t>
      </w:r>
    </w:p>
    <w:p>
      <w:pPr>
        <w:pStyle w:val="Intertitre"/>
      </w:pPr>
      <w:r>
        <w:t xml:space="preserve">Objet</w:t>
      </w:r>
    </w:p>
    <w:p>
      <w:pPr>
        <w:pStyle w:val="Corps"/>
      </w:pPr>
      <w:r>
        <w:t xml:space="preserve">Le Mainteneur assure, dans les limites du présent contrat, les opérations permettant de prévenir les incidents, diagnostiquer les anomalies, fournir un contournement et rétablir le fonctionnement des actifs maintenus. Les prestations sont exécutées selon les niveaux de service, procédures de sécurité et responsabilités décrits dans le contrat et ses annexes. Toute évolution fonctionnelle, migration ou transformation demeure hors objet sauf accord écrit distinct.</w:t>
      </w:r>
    </w:p>
    <w:p>
      <w:pPr>
        <w:pStyle w:val="Intertitre"/>
      </w:pPr>
      <w:r>
        <w:t xml:space="preserve">Actifs maintenus</w:t>
      </w:r>
    </w:p>
    <w:p>
      <w:pPr>
        <w:pStyle w:val="Corps"/>
      </w:pPr>
      <w:r>
        <w:t xml:space="preserve">Le périmètre contractuel comprend exclusivement [Actifs maintenus]. L'inventaire indique pour chaque actif sa désignation, version, environnement, localisation, propriétaire, dépendances techniques, niveau de criticité et date d'entrée en maintenance. Les identifiants de configuration permettent de rattacher chaque demande au bon élément. Un actif non inventorié n'est pas réputé couvert du seul fait qu'il interagit avec un actif maintenu.</w:t>
      </w:r>
    </w:p>
    <w:p>
      <w:pPr>
        <w:pStyle w:val="Intertitre"/>
      </w:pPr>
      <w:r>
        <w:t xml:space="preserve">Exclusions de périmètre</w:t>
      </w:r>
    </w:p>
    <w:p>
      <w:pPr>
        <w:pStyle w:val="Corps"/>
      </w:pPr>
      <w:r>
        <w:t xml:space="preserve">Sont exclus du service [Actifs exclus]. Les exclusions précisent notamment les versions obsolètes, composants tiers non supportés, environnements de test, matériels, consommables et interventions relevant d'un autre prestataire. Une demande portant sur un élément exclu fait l'objet d'une qualification et d'un devis séparés. Son traitement ponctuel ne modifie ni l'inventaire ni les niveaux de service applicables.</w:t>
      </w:r>
    </w:p>
    <w:p>
      <w:pPr>
        <w:pStyle w:val="Intertitre"/>
      </w:pPr>
      <w:r>
        <w:t xml:space="preserve">Évolution du périmètre</w:t>
      </w:r>
    </w:p>
    <w:p>
      <w:pPr>
        <w:pStyle w:val="Corps"/>
      </w:pPr>
      <w:r>
        <w:t xml:space="preserve">Toute entrée, sortie ou modification d'un actif suit [Processus de gestion des changements]. La demande décrit la version concernée, le motif, les risques, les prérequis, le plan de validation, la fenêtre d'intervention, le retour arrière et l'impact sur le prix ou les niveaux de service. L'accord identifie sa date d'effet. Aucune modification urgente ne devient définitive sans régularisation et mise à jour de l'inventaire.</w:t>
      </w:r>
    </w:p>
    <w:p>
      <w:pPr>
        <w:pStyle w:val="Intertitre"/>
      </w:pPr>
      <w:r>
        <w:t xml:space="preserve">Mode principal de maintenance — choisir une seule variante</w:t>
      </w:r>
    </w:p>
    <w:p>
      <w:pPr>
        <w:pStyle w:val="Variante"/>
      </w:pPr>
      <w:r>
        <w:t xml:space="preserve">Variante : Maintenance préventive</w:t>
      </w:r>
    </w:p>
    <w:p>
      <w:pPr>
        <w:pStyle w:val="Corps"/>
      </w:pPr>
      <w:r>
        <w:t xml:space="preserve">Les opérations préventives sont [Tâches préventives] et sont exécutées selon [Calendrier des opérations de maintenance]. Le calendrier distingue contrôles périodiques, opérations nécessitant une interruption, préavis et responsables de validation. Chaque intervention donne lieu à un compte rendu retraçant l'état initial, les vérifications, anomalies, actions réalisées et recommandations. Une anomalie critique est immédiatement convertie en ticket selon la matrice de sévérité.</w:t>
      </w:r>
    </w:p>
    <w:p>
      <w:pPr>
        <w:pStyle w:val="Variante"/>
      </w:pPr>
      <w:r>
        <w:t xml:space="preserve">Variante : Maintenance corrective</w:t>
      </w:r>
    </w:p>
    <w:p>
      <w:pPr>
        <w:pStyle w:val="Corps"/>
      </w:pPr>
      <w:r>
        <w:t xml:space="preserve">La maintenance corrective couvre le diagnostic, le contournement, la correction et le rétablissement conformément à [Matrice de gravité des incidents] et [Objectifs de réponse]. Le Mainteneur recherche la cause, documente les hypothèses, conserve les traces utiles et propose les mesures limitant la récidive. La clôture distingue rétablissement provisoire et résolution définitive et requiert les preuves prévues par le cycle de traitement.</w:t>
      </w:r>
    </w:p>
    <w:p>
      <w:pPr>
        <w:pStyle w:val="Intertitre"/>
      </w:pPr>
      <w:r>
        <w:t xml:space="preserve">Limites des prestations</w:t>
      </w:r>
    </w:p>
    <w:p>
      <w:pPr>
        <w:pStyle w:val="Corps"/>
      </w:pPr>
      <w:r>
        <w:t xml:space="preserve">Le service n'inclut ni évolution fonctionnelle, ni remplacement matériel, ni migration non expressément convenue. Les dépendances de tiers, licences, garanties constructeurs, réseaux, hébergements et services cloud restent régis par leurs responsabilités propres. Le Mainteneur signale l'origine tierce présumée, transmet les éléments disponibles et coopère dans les limites prévues, sans garantir un délai dépendant d'un tiers non engagé par le contrat.</w:t>
      </w:r>
    </w:p>
    <w:p>
      <w:pPr>
        <w:pStyle w:val="Intertitre"/>
      </w:pPr>
      <w:r>
        <w:t xml:space="preserve">Clause optionnelle : Astreinte</w:t>
      </w:r>
    </w:p>
    <w:p>
      <w:pPr>
        <w:pStyle w:val="Corps"/>
      </w:pPr>
      <w:r>
        <w:t xml:space="preserve">L'astreinte couvre [Périodes d'appel], utilise [Voie d'urgence] et obéit à [Conditions d'appel]. Les conditions précisent les personnes autorisées, le point de départ des délais, la rémunération, les actes immédiatement permis et le passage au support ordinaire. L'astreinte ne vaut ni surveillance permanente ni garantie de résolution hors des objectifs expressément convenus. Chaque activation est horodatée et rattachée à un ticket.</w:t>
      </w:r>
    </w:p>
    <w:p>
      <w:pPr>
        <w:pStyle w:val="Intertitre"/>
      </w:pPr>
      <w:r>
        <w:t xml:space="preserve">Canaux de support</w:t>
      </w:r>
    </w:p>
    <w:p>
      <w:pPr>
        <w:pStyle w:val="Corps"/>
      </w:pPr>
      <w:r>
        <w:t xml:space="preserve">Les demandes sont recevables par [Chaînes de soutien]. Seuls les canaux convenus déclenchent les délais de service et conservent une preuve complète des échanges. Les canaux de secours, les indisponibilités de l'outil principal et la procédure de reprise sont identifiés. Une conversation informelle n'ouvre pas de ticket tant qu'elle n'a pas été enregistrée et qualifiée selon le processus contractuel.</w:t>
      </w:r>
    </w:p>
    <w:p>
      <w:pPr>
        <w:pStyle w:val="Intertitre"/>
      </w:pPr>
      <w:r>
        <w:t xml:space="preserve">Contenu d'un ticket</w:t>
      </w:r>
    </w:p>
    <w:p>
      <w:pPr>
        <w:pStyle w:val="Corps"/>
      </w:pPr>
      <w:r>
        <w:t xml:space="preserve">Chaque demande contient [Exigences relatives aux billets] afin de permettre sa qualification. Elle précise l'actif, l'environnement, l'heure d'apparition, les symptômes, l'impact, les changements récents, les messages d'erreur, les premières vérifications et les coordonnées du demandeur. Le Client complète sans délai les informations manquantes. Les délais neutralisés pour attente d'éléments sont horodatés, motivés et réactivés à leur réception.</w:t>
      </w:r>
    </w:p>
    <w:p>
      <w:pPr>
        <w:pStyle w:val="Intertitre"/>
      </w:pPr>
      <w:r>
        <w:t xml:space="preserve">Cycle de traitement</w:t>
      </w:r>
    </w:p>
    <w:p>
      <w:pPr>
        <w:pStyle w:val="Corps"/>
      </w:pPr>
      <w:r>
        <w:t xml:space="preserve">Le traitement d'un ticket suit [Déroulement des billets] depuis l'enregistrement jusqu'à la clôture. Chaque changement de statut, requalification, action, décision, dépendance, contournement et validation est horodaté. Le Mainteneur indique le responsable en charge et la prochaine échéance. La clôture intervient après preuve du rétablissement ou accord du Client ; une réouverture conserve le lien avec l'incident initial.</w:t>
      </w:r>
    </w:p>
    <w:p>
      <w:pPr>
        <w:pStyle w:val="Intertitre"/>
      </w:pPr>
      <w:r>
        <w:t xml:space="preserve">Qualification et priorité</w:t>
      </w:r>
    </w:p>
    <w:p>
      <w:pPr>
        <w:pStyle w:val="Corps"/>
      </w:pPr>
      <w:r>
        <w:t xml:space="preserve">Le Mainteneur qualifie chaque incident selon [Matrice de gravité des incidents]. La priorité combine impact métier, étendue, criticité de l'actif, disponibilité d'un contournement et urgence vérifiable. Toute requalification est motivée et notifiée. En cas de désaccord, le niveau provisoire le plus protecteur s'applique jusqu'à l'escalade contradictoire, sans préjuger de l'imputabilité ni des remèdes contractuels.</w:t>
      </w:r>
    </w:p>
    <w:p>
      <w:pPr>
        <w:pStyle w:val="Intertitre"/>
      </w:pPr>
      <w:r>
        <w:t xml:space="preserve">Demandes hors périmètre</w:t>
      </w:r>
    </w:p>
    <w:p>
      <w:pPr>
        <w:pStyle w:val="Corps"/>
      </w:pPr>
      <w:r>
        <w:t xml:space="preserve">Une demande étrangère au périmètre suit [Traitement des demandes hors périmètre]. Le Mainteneur explique le motif, les travaux proposés, les hypothèses, le prix, le calendrier et l'incidence éventuelle sur le service courant. Aucune prestation supplémentaire ni facturation associée n'est engagée sans accord préalable traçable d'une personne habilitée. Les mesures conservatoires urgentes sont documentées et soumises à régularisation.</w:t>
      </w:r>
    </w:p>
    <w:p>
      <w:pPr>
        <w:pStyle w:val="Intertitre"/>
      </w:pPr>
      <w:r>
        <w:t xml:space="preserve">Matrice de sévérité</w:t>
      </w:r>
    </w:p>
    <w:p>
      <w:pPr>
        <w:pStyle w:val="Corps"/>
      </w:pPr>
      <w:r>
        <w:t xml:space="preserve">Les critères de sévérité applicables sont [Matrice de gravité des incidents]. Ils distinguent l'impact, le nombre d'utilisateurs affectés, la criticité de l'actif, l'existence d'un contournement et les obligations externes du Client. Chaque niveau comporte des exemples, un responsable d'escalade et une fréquence d'information. La matrice est utilisée de façon identique pour mesurer les délais et établir les rapports de service.</w:t>
      </w:r>
    </w:p>
    <w:p>
      <w:pPr>
        <w:pStyle w:val="Intertitre"/>
      </w:pPr>
      <w:r>
        <w:t xml:space="preserve">Objectifs de prise en charge</w:t>
      </w:r>
    </w:p>
    <w:p>
      <w:pPr>
        <w:pStyle w:val="Corps"/>
      </w:pPr>
      <w:r>
        <w:t xml:space="preserve">Les objectifs de prise en charge, diagnostic, contournement, rétablissement, résolution et information sont [Objectifs de réponse]. Pour chaque sévérité, le contrat précise le point de départ, les heures comptabilisées, les interruptions admises et le niveau de preuve. La prise en charge ne se confond pas avec le rétablissement. Les objectifs dépendant d'un tiers ou d'un prérequis Client sont identifiés séparément.</w:t>
      </w:r>
    </w:p>
    <w:p>
      <w:pPr>
        <w:pStyle w:val="Intertitre"/>
      </w:pPr>
      <w:r>
        <w:t xml:space="preserve">Engagements de service</w:t>
      </w:r>
    </w:p>
    <w:p>
      <w:pPr>
        <w:pStyle w:val="Corps"/>
      </w:pPr>
      <w:r>
        <w:t xml:space="preserve">Les niveaux de service convenus sont [Niveaux de service]. Ils s'appliquent pendant les plages couvertes, aux actifs inventoriés et sous réserve des prérequis imputables au Client. Leur respect est mesuré selon [Méthode de mesure des SLA] à partir de données horodatées et accessibles aux parties. Les indicateurs, périodes de référence, arrondis, seuils et règles de consolidation sont définis sans permettre une modification unilatérale.</w:t>
      </w:r>
    </w:p>
    <w:p>
      <w:pPr>
        <w:pStyle w:val="Intertitre"/>
      </w:pPr>
      <w:r>
        <w:t xml:space="preserve">Exclusions des niveaux de service</w:t>
      </w:r>
    </w:p>
    <w:p>
      <w:pPr>
        <w:pStyle w:val="Corps"/>
      </w:pPr>
      <w:r>
        <w:t xml:space="preserve">Les périodes et causes neutralisées dans le calcul sont [Exclusions des niveaux de service (SLA)]. Toute exclusion invoquée est documentée dans le ticket avec son début, sa fin, son motif, les preuves et la partie responsable. Les maintenances planifiées respectent le préavis et la durée convenus. Une exclusion générale, imprécise ou sans lien causal avec le retard ne peut réduire les résultats mesurés.</w:t>
      </w:r>
    </w:p>
    <w:p>
      <w:pPr>
        <w:pStyle w:val="Intertitre"/>
      </w:pPr>
      <w:r>
        <w:t xml:space="preserve">Rapport de service</w:t>
      </w:r>
    </w:p>
    <w:p>
      <w:pPr>
        <w:pStyle w:val="Corps"/>
      </w:pPr>
      <w:r>
        <w:t xml:space="preserve">Le Mainteneur remet un rapport périodique présentant tickets, sévérités, délais, disponibilité, exclusions, incidents récurrents, opérations préventives, changements, risques et actions ouvertes. Les parties examinent contradictoirement les écarts et appliquent [Remèdes liés aux niveaux de service] selon les seuils, plafonds, exclusions et modalités de contestation convenus. Un crédit de service ne vaut renonciation à un autre recours sauf stipulation expresse et licite.</w:t>
      </w:r>
    </w:p>
    <w:p>
      <w:pPr>
        <w:pStyle w:val="Intertitre"/>
      </w:pPr>
      <w:r>
        <w:t xml:space="preserve">Clause optionnelle : Interventions à distance</w:t>
      </w:r>
    </w:p>
    <w:p>
      <w:pPr>
        <w:pStyle w:val="Corps"/>
      </w:pPr>
      <w:r>
        <w:t xml:space="preserve">Les interventions distantes suivent [Procédure d'accès à distance] et ne sont réalisées qu'après authentification, autorisation et traçabilité conformes à [Contrôles de sécurité d'accès]. La procédure identifie l'intervenant, l'actif, le motif, la durée, les commandes sensibles et la fin de session. Les accès temporaires sont révoqués après usage. Toute extraction ou copie de données doit être nécessaire, autorisée et documentée.</w:t>
      </w:r>
    </w:p>
    <w:p>
      <w:pPr>
        <w:pStyle w:val="Intertitre"/>
      </w:pPr>
      <w:r>
        <w:t xml:space="preserve">Habilitations et traçabilité</w:t>
      </w:r>
    </w:p>
    <w:p>
      <w:pPr>
        <w:pStyle w:val="Corps"/>
      </w:pPr>
      <w:r>
        <w:t xml:space="preserve">Les comptes, droits, secrets, journaux et procédures de révocation applicables aux interventions sont [Contrôles de sécurité d'accès]. Les accès sont nominatifs, limités au besoin et à la durée de l'opération, protégés selon le risque et revus périodiquement. La gestion des vulnérabilités et correctifs suit [Gestion des vulnérabilités et correctifs] ; la journalisation et la conservation suivent [Journalisation de sécurité]. Les écarts critiques font l'objet d'une alerte et d'un plan de traitement.</w:t>
      </w:r>
    </w:p>
    <w:p>
      <w:pPr>
        <w:pStyle w:val="Intertitre"/>
      </w:pPr>
      <w:r>
        <w:t xml:space="preserve">Données du Client</w:t>
      </w:r>
    </w:p>
    <w:p>
      <w:pPr>
        <w:pStyle w:val="Corps"/>
      </w:pPr>
      <w:r>
        <w:t xml:space="preserve">La consultation, la copie, le transfert, la sauvegarde, la restitution et la suppression des données suivent [Règles de traitement des données]. Le Mainteneur n'en acquiert aucun droit d'usage autonome. Les lieux, supports, canaux, durées de conservation et personnes autorisées sont identifiés. Les données temporaires sont protégées puis supprimées de manière traçable. Toute conservation légale résiduelle demeure isolée et inaccessible aux usages opérationnels.</w:t>
      </w:r>
    </w:p>
    <w:p>
      <w:pPr>
        <w:pStyle w:val="Intertitre"/>
      </w:pPr>
      <w:r>
        <w:t xml:space="preserve">Clause optionnelle : Traitement pour le compte du Client</w:t>
      </w:r>
    </w:p>
    <w:p>
      <w:pPr>
        <w:pStyle w:val="Corps"/>
      </w:pPr>
      <w:r>
        <w:t xml:space="preserve">Lorsque le Mainteneur traite des données personnelles pour le compte du Client, les instructions, finalités, catégories de données, personnes concernées, durées, lieux, mesures de sécurité, sous-traitants ultérieurs, assistance, audits et sort des données sont définis par [Règles de traitement des données]. Le Mainteneur alerte sur toute instruction qu'il estime contraire au droit applicable et ne traite les données que sur instruction documentée, sauf obligation légale dûment signalée.</w:t>
      </w:r>
    </w:p>
    <w:p>
      <w:pPr>
        <w:pStyle w:val="Intertitre"/>
      </w:pPr>
      <w:r>
        <w:t xml:space="preserve">Confidentialité</w:t>
      </w:r>
    </w:p>
    <w:p>
      <w:pPr>
        <w:pStyle w:val="Corps"/>
      </w:pPr>
      <w:r>
        <w:t xml:space="preserve">Chaque partie protège les informations reçues selon [Conditions de confidentialité]. La stipulation précise les informations couvertes, exceptions, personnes autorisées, niveau de protection, durée et modalités de restitution. L'utilisation reste limitée à l'exécution du contrat. Une divulgation légalement requise est, lorsque cela est permis, précédée d'une information permettant à l'autre partie de protéger ses intérêts.</w:t>
      </w:r>
    </w:p>
    <w:p>
      <w:pPr>
        <w:pStyle w:val="Intertitre"/>
      </w:pPr>
      <w:r>
        <w:t xml:space="preserve">Incident de sécurité</w:t>
      </w:r>
    </w:p>
    <w:p>
      <w:pPr>
        <w:pStyle w:val="Corps"/>
      </w:pPr>
      <w:r>
        <w:t xml:space="preserve">La détection, la qualification, l'endiguement, la préservation des preuves, l'information du Client et la coopération suivent [Procédure d'incident de sécurité]. L'alerte indique les faits connus, systèmes et données concernés, chronologie, impacts, mesures prises et prochaines mises à jour. Le Mainteneur ne notifie aucune autorité ou personne au nom du Client sans instruction, sauf obligation légale propre dûment documentée.</w:t>
      </w:r>
    </w:p>
    <w:p>
      <w:pPr>
        <w:pStyle w:val="Intertitre"/>
      </w:pPr>
      <w:r>
        <w:t xml:space="preserve">Obligations du Client</w:t>
      </w:r>
    </w:p>
    <w:p>
      <w:pPr>
        <w:pStyle w:val="Corps"/>
      </w:pPr>
      <w:r>
        <w:t xml:space="preserve">Le Client fournit [Conditions préalables du client], maintient les licences et moyens relevant de sa responsabilité, communique les informations utiles et garantit l'accès autorisé aux actifs. La répartition des sauvegardes suit [Répartition des sauvegardes] et les restaurations sont contrôlées selon [Tests de restauration]. Le Client ne demande pas d'intervention illicite et signale les changements, incidents ou contraintes susceptibles d'affecter le diagnostic et les niveaux de service.</w:t>
      </w:r>
    </w:p>
    <w:p>
      <w:pPr>
        <w:pStyle w:val="Intertitre"/>
      </w:pPr>
      <w:r>
        <w:t xml:space="preserve">Obligations du Mainteneur</w:t>
      </w:r>
    </w:p>
    <w:p>
      <w:pPr>
        <w:pStyle w:val="Corps"/>
      </w:pPr>
      <w:r>
        <w:t xml:space="preserve">Le Mainteneur affecte des intervenants compétents, respecte les procédures convenues, documente ses actions et alerte sur les risques identifiés. Il limite toute interruption au nécessaire, protège les accès confiés, conserve les preuves utiles et respecte les fenêtres autorisées. Son obligation porte sur les prestations décrites et ne lui transfère pas les décisions de gouvernance, d'acceptation du risque ou de conformité propres au Client.</w:t>
      </w:r>
    </w:p>
    <w:p>
      <w:pPr>
        <w:pStyle w:val="Intertitre"/>
      </w:pPr>
      <w:r>
        <w:t xml:space="preserve">Coopération</w:t>
      </w:r>
    </w:p>
    <w:p>
      <w:pPr>
        <w:pStyle w:val="Corps"/>
      </w:pPr>
      <w:r>
        <w:t xml:space="preserve">Les parties coopèrent de bonne foi, désignent leurs contacts et s'informent des changements susceptibles d'affecter le service. Une dépendance bloquante est tracée dans le ticket concerné avec son responsable, les éléments attendus et l'impact sur les délais. Les comités de suivi examinent les incidents majeurs, problèmes récurrents, changements, capacités, risques et décisions, sans modifier le contrat hors du processus habilité.</w:t>
      </w:r>
    </w:p>
    <w:p>
      <w:pPr>
        <w:pStyle w:val="Intertitre"/>
      </w:pPr>
      <w:r>
        <w:t xml:space="preserve">Rémunération</w:t>
      </w:r>
    </w:p>
    <w:p>
      <w:pPr>
        <w:pStyle w:val="Corps"/>
      </w:pPr>
      <w:r>
        <w:t xml:space="preserve">La rémunération des prestations comprises est [Prix des prestations de maintenance]. Elle distingue abonnement, unités d'œuvre, astreinte, interventions planifiées, déplacements, licences et pièces. Les prestations hors périmètre ne sont dues que selon le processus d'accord applicable. Toute indexation, révision, minimum, plafond ou consommation reportable est décrite avec sa date d'effet et son mode de calcul vérifiable.</w:t>
      </w:r>
    </w:p>
    <w:p>
      <w:pPr>
        <w:pStyle w:val="Intertitre"/>
      </w:pPr>
      <w:r>
        <w:t xml:space="preserve">Facturation et paiement</w:t>
      </w:r>
    </w:p>
    <w:p>
      <w:pPr>
        <w:pStyle w:val="Corps"/>
      </w:pPr>
      <w:r>
        <w:t xml:space="preserve">Les factures sont émises et réglées selon [Modalités de facturation]. Elles identifient la période, les prestations, tickets, unités, dépenses et taxes correspondantes. Toute contestation précise la ligne, le motif et les justificatifs dans le délai convenu et ne suspend pas le paiement des sommes non contestées. Les intérêts, indemnités et conditions de suspension restent soumis aux règles applicables et aux stipulations expressément acceptées.</w:t>
      </w:r>
    </w:p>
    <w:p>
      <w:pPr>
        <w:pStyle w:val="Intertitre"/>
      </w:pPr>
      <w:r>
        <w:t xml:space="preserve">Garantie des interventions</w:t>
      </w:r>
    </w:p>
    <w:p>
      <w:pPr>
        <w:pStyle w:val="Corps"/>
      </w:pPr>
      <w:r>
        <w:t xml:space="preserve">Le Mainteneur garantit, selon [Garantie des interventions], la conformité des corrections et opérations réalisées à la demande validée. La garantie précise sa durée, la procédure de notification, les preuves et le délai de reprise. Elle couvre les défauts imputables au Mainteneur sans étendre le service aux évolutions, actifs ou incidents exclus. La reprise ne prive pas le Client des remèdes applicables à un manquement persistant.</w:t>
      </w:r>
    </w:p>
    <w:p>
      <w:pPr>
        <w:pStyle w:val="Intertitre"/>
      </w:pPr>
      <w:r>
        <w:t xml:space="preserve">Assurances</w:t>
      </w:r>
    </w:p>
    <w:p>
      <w:pPr>
        <w:pStyle w:val="Corps"/>
      </w:pPr>
      <w:r>
        <w:t xml:space="preserve">Le Mainteneur souscrit et maintient les assurances décrites par [Assurances du Mainteneur] pendant toute la durée du contrat. Les garanties, activités, territoires, plafonds, franchises et exclusions pertinents sont rapprochés des prestations. Une attestation est remise à première demande. Le Mainteneur informe le Client de toute suspension, résiliation ou réduction susceptible d'affecter la couverture, sans que l'assurance limite sa responsabilité contractuelle.</w:t>
      </w:r>
    </w:p>
    <w:p>
      <w:pPr>
        <w:pStyle w:val="Intertitre"/>
      </w:pPr>
      <w:r>
        <w:t xml:space="preserve">Régime de responsabilité — choisir une seule variante</w:t>
      </w:r>
    </w:p>
    <w:p>
      <w:pPr>
        <w:pStyle w:val="Variante"/>
      </w:pPr>
      <w:r>
        <w:t xml:space="preserve">Variante : Responsabilité plafonnée</w:t>
      </w:r>
    </w:p>
    <w:p>
      <w:pPr>
        <w:pStyle w:val="Corps"/>
      </w:pPr>
      <w:r>
        <w:t xml:space="preserve">Chaque partie répond des dommages directs causés par ses manquements prouvés. La responsabilité globale du Mainteneur est plafonnée à [Plafond de responsabilité] selon l'assiette [Assiette du plafond], sauf pour [Exclusions du plafond] et les cas où une limitation est interdite ou prive une obligation essentielle de sa substance. Le plafond précise sa période, son caractère global ou par événement et son articulation avec les crédits de service et garanties d'assurance.</w:t>
      </w:r>
    </w:p>
    <w:p>
      <w:pPr>
        <w:pStyle w:val="Variante"/>
      </w:pPr>
      <w:r>
        <w:t xml:space="preserve">Variante : Responsabilité sans plafond général</w:t>
      </w:r>
    </w:p>
    <w:p>
      <w:pPr>
        <w:pStyle w:val="Corps"/>
      </w:pPr>
      <w:r>
        <w:t xml:space="preserve">Aucun plafond contractuel général n'est convenu. Chaque demande demeure soumise à la preuve du manquement, du dommage réparable et du lien de causalité ainsi qu'aux exclusions ou limitations résultant des règles impératives applicables. Les parties distinguent les obligations de correction, les crédits de service, les restitutions de prix et les dommages-intérêts afin d'éviter toute double réparation d'un même préjudice.</w:t>
      </w:r>
    </w:p>
    <w:p>
      <w:pPr>
        <w:pStyle w:val="Intertitre"/>
      </w:pPr>
      <w:r>
        <w:t xml:space="preserve">Clause optionnelle : Sous-traitance des prestations</w:t>
      </w:r>
    </w:p>
    <w:p>
      <w:pPr>
        <w:pStyle w:val="Corps"/>
      </w:pPr>
      <w:r>
        <w:t xml:space="preserve">Le Mainteneur peut recourir aux sous-traitants identifiés dans [Conditions de sous-traitance]. Il demeure responsable de leurs prestations envers le Client, vérifie leurs compétences et leur impose des obligations compatibles de confidentialité, sécurité, continuité, preuve et restitution. Les changements substantiels sont notifiés selon le processus convenu. Le régime propre aux traitements de données personnelles s'applique en plus lorsque le sous-traitant accède à ces données.</w:t>
      </w:r>
    </w:p>
    <w:p>
      <w:pPr>
        <w:pStyle w:val="Intertitre"/>
      </w:pPr>
      <w:r>
        <w:t xml:space="preserve">Propriété intellectuelle</w:t>
      </w:r>
    </w:p>
    <w:p>
      <w:pPr>
        <w:pStyle w:val="Corps"/>
      </w:pPr>
      <w:r>
        <w:t xml:space="preserve">Chaque partie conserve ses droits sur les éléments antérieurs décrits par [Éléments intellectuels antérieurs]. Les droits nécessaires à l'utilisation, à la maintenance et à la réversibilité des livrables sont concédés selon [Droits sur les livrables] avec leur durée, territoire, bénéficiaires et usages. Aucun transfert de code, outil, composant tiers, méthode ou droit n'est présumé. Le Mainteneur identifie les licences tierces et restrictions affectant l'exploitation prévue.</w:t>
      </w:r>
    </w:p>
    <w:p>
      <w:pPr>
        <w:pStyle w:val="Intertitre"/>
      </w:pPr>
      <w:r>
        <w:t xml:space="preserve">Force majeure</w:t>
      </w:r>
    </w:p>
    <w:p>
      <w:pPr>
        <w:pStyle w:val="Corps"/>
      </w:pPr>
      <w:r>
        <w:t xml:space="preserve">La partie empêchée par un événement répondant aux conditions légales de la force majeure en informe l'autre selon [Notification de force majeure]. Elle précise les obligations affectées, preuves disponibles, durée estimée et mesures d'atténuation. L'exécution est suspendue dans la mesure de l'empêchement. Les obligations non affectées subsistent. Une impossibilité définitive ou une prolongation au-delà du seuil convenu produit les conséquences prévues par le droit et le contrat.</w:t>
      </w:r>
    </w:p>
    <w:p>
      <w:pPr>
        <w:pStyle w:val="Intertitre"/>
      </w:pPr>
      <w:r>
        <w:t xml:space="preserve">Durée</w:t>
      </w:r>
    </w:p>
    <w:p>
      <w:pPr>
        <w:pStyle w:val="Corps"/>
      </w:pPr>
      <w:r>
        <w:t xml:space="preserve">Le contrat prend effet et demeure applicable selon [Durée du contrat]. La stipulation précise la durée initiale, les conditions de renouvellement, le préavis de non-renouvellement et les obligations préparatoires à l'échéance. Aucun renouvellement tacite ne peut être déduit d'une simple poursuite ponctuelle sans la règle convenue. Les commandes ou tickets en cours sont traités selon les dispositions de fin du contrat.</w:t>
      </w:r>
    </w:p>
    <w:p>
      <w:pPr>
        <w:pStyle w:val="Intertitre"/>
      </w:pPr>
      <w:r>
        <w:t xml:space="preserve">Résiliation</w:t>
      </w:r>
    </w:p>
    <w:p>
      <w:pPr>
        <w:pStyle w:val="Corps"/>
      </w:pPr>
      <w:r>
        <w:t xml:space="preserve">Les manquements, préavis, mises en demeure et effets de la résiliation sont [Conditions de résiliation]. La procédure distingue résiliation pour faute, convenance, impossibilité durable et autres causes convenues. Elle précise le délai de remède, les mesures urgentes, le sort des tickets, sommes, licences, accès et données. La cessation ne libère pas les obligations destinées à survivre ni les droits nés avant sa date d'effet.</w:t>
      </w:r>
    </w:p>
    <w:p>
      <w:pPr>
        <w:pStyle w:val="Intertitre"/>
      </w:pPr>
      <w:r>
        <w:t xml:space="preserve">Réversibilité</w:t>
      </w:r>
    </w:p>
    <w:p>
      <w:pPr>
        <w:pStyle w:val="Corps"/>
      </w:pPr>
      <w:r>
        <w:t xml:space="preserve">À la fin du contrat, la restitution des informations, historiques, accès, secrets et éléments confiés suit [Procédure de sortie]. L'assistance de transition est organisée selon [Assistance de transition] avec calendrier, responsables, formats, documentation, transfert de connaissances, coopération avec le successeur et conditions financières. Les accès sont révoqués, les copies supprimées ou isolées et les opérations donnent lieu aux attestations et procès-verbaux convenus.</w:t>
      </w:r>
    </w:p>
    <w:p>
      <w:pPr>
        <w:pStyle w:val="Intertitre"/>
      </w:pPr>
      <w:r>
        <w:t xml:space="preserve">Droit applicable et différends</w:t>
      </w:r>
    </w:p>
    <w:p>
      <w:pPr>
        <w:pStyle w:val="Corps"/>
      </w:pPr>
      <w:r>
        <w:t xml:space="preserve">Le contrat est régi par [Droit applicable]. Tout différend relatif à sa formation, son interprétation, son exécution ou sa cessation suit [Règlement des différends]. La procédure précise les contacts d'escalade, délais de discussion et, le cas échéant, médiation ou juridiction convenue. Elle ne prive aucune partie d'une mesure urgente, conservatoire ni d'une compétence impérative applicable. Les preuves techniques et rapports contradictoires sont conservés.</w:t>
      </w:r>
    </w:p>
    <w:p>
      <w:pPr>
        <w:pStyle w:val="Intertitre"/>
      </w:pPr>
      <w:r>
        <w:t xml:space="preserve">Signatures</w:t>
      </w:r>
    </w:p>
    <w:p>
      <w:pPr>
        <w:pStyle w:val="Corps"/>
      </w:pPr>
      <w:r>
        <w:t xml:space="preserve">Fait à [Lieu de signature], le [Date de signature]. Le contrat est signé par [Noms des signataires] après vérification de l'identité, de la qualité et des pouvoirs de chaque signataire. Les annexes de périmètre, niveaux de service, sécurité, données, prix et réversibilité sont identifiées par leur version et leur date. Le procédé de signature permet d'établir l'intégrité de l'acte et sa conservation.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