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ACCORD DE TRAITEMENT DES DONNÉES PERSONNELLES (RESPONSABLE ET SOUS-TRAITANT)</w:t>
      </w:r>
    </w:p>
    <w:p>
      <w:pPr>
        <w:pStyle w:val="Intertitre"/>
      </w:pPr>
      <w:r>
        <w:t xml:space="preserve">Parties et pouvoirs</w:t>
      </w:r>
    </w:p>
    <w:p>
      <w:pPr>
        <w:pStyle w:val="Corps"/>
      </w:pPr>
      <w:r>
        <w:t xml:space="preserve">Les identités, adresses, représentants et pouvoirs des parties sont décrits comme suit : [Identité et pouvoirs des parties]. Aucune identité, qualité ou habilitation n'est déduite d'un échange ou d'une dénomination commerciale. Chaque partie communique sa dénomination complète, son établissement, son contact protection des données et la pièce établissant le pouvoir du signataire. Une modification est notifiée sans délai et ne change pas, à elle seule, la qualification fonctionnelle retenue.</w:t>
      </w:r>
    </w:p>
    <w:p>
      <w:pPr>
        <w:pStyle w:val="Intertitre"/>
      </w:pPr>
      <w:r>
        <w:t xml:space="preserve">Clause optionnelle : Qualification responsable et sous-traitant</w:t>
      </w:r>
    </w:p>
    <w:p>
      <w:pPr>
        <w:pStyle w:val="Corps"/>
      </w:pPr>
      <w:r>
        <w:t xml:space="preserve">Le Responsable détermine les finalités et les moyens essentiels du traitement, et le Sous-traitant agit uniquement pour son compte selon la qualification et les finalités suivantes : [Rôles RGPD et finalités]. Cette qualification reflète les faits fournis et non une simple étiquette contractuelle. La qualification est revue si le Sous-traitant détermine une finalité propre ou un moyen essentiel non imposé par le Responsable. Les parties documentent les flux, décisions et marges d'autonomie ayant conduit à leur analyse et suspendent la branche inadaptée en cas de divergence.</w:t>
      </w:r>
    </w:p>
    <w:p>
      <w:pPr>
        <w:pStyle w:val="Intertitre"/>
      </w:pPr>
      <w:r>
        <w:t xml:space="preserve">Hiérarchie avec le contrat principal</w:t>
      </w:r>
    </w:p>
    <w:p>
      <w:pPr>
        <w:pStyle w:val="Corps"/>
      </w:pPr>
      <w:r>
        <w:t xml:space="preserve">Le présent accord complète le contrat principal identifié par [Contrat principal et responsabilité] uniquement pour les traitements décrits en annexe. Il ne modifie ni la prestation, ni les prix, ni la responsabilité, sauf stipulation écrite expresse et vérifiée. En cas de contradiction sur une obligation de protection des données, la stipulation répondant aux exigences impératives prévaut pour le traitement concerné. Les références, versions et dates des documents contractuels sont recensées afin d'éviter qu'une annexe obsolète ne régisse les opérations.</w:t>
      </w:r>
    </w:p>
    <w:p>
      <w:pPr>
        <w:pStyle w:val="Intertitre"/>
      </w:pPr>
      <w:r>
        <w:t xml:space="preserve">Objet et durée</w:t>
      </w:r>
    </w:p>
    <w:p>
      <w:pPr>
        <w:pStyle w:val="Corps"/>
      </w:pPr>
      <w:r>
        <w:t xml:space="preserve">Le présent accord encadre les opérations décrites par [Objet, durée et nature du traitement]. Il s'applique pendant la durée expressément renseignée et cesse pour les données selon les règles de fin de service ci-dessous. La durée opérationnelle du traitement est [Durée opérationnelle du traitement] et inclut les phases d'ouverture, d'exploitation, de migration et de sortie effectivement nécessaires. Toute prolongation, suspension ou reprise est documentée avec sa date d'effet, son motif et les conséquences sur la conservation.</w:t>
      </w:r>
    </w:p>
    <w:p>
      <w:pPr>
        <w:pStyle w:val="Intertitre"/>
      </w:pPr>
      <w:r>
        <w:t xml:space="preserve">Annexe I - Description du traitement</w:t>
      </w:r>
    </w:p>
    <w:p>
      <w:pPr>
        <w:pStyle w:val="Corps"/>
      </w:pPr>
      <w:r>
        <w:t xml:space="preserve">L'annexe I contient effectivement la description suivante : [Objet, durée et nature du traitement]. Elle couvre objet, durée, nature, opérations et finalités; toute opération absente requiert une instruction écrite et une revue préalable. Les finalités sont [Finalités du traitement], les opérations [Opérations de traitement], les lieux [Lieux du traitement] et les volumes ou fréquences [Volumes et fréquences]. L'annexe relie chaque opération au service, au système, au responsable opérationnel et à la base d'instruction correspondante.</w:t>
      </w:r>
    </w:p>
    <w:p>
      <w:pPr>
        <w:pStyle w:val="Intertitre"/>
      </w:pPr>
      <w:r>
        <w:t xml:space="preserve">Instructions documentées</w:t>
      </w:r>
    </w:p>
    <w:p>
      <w:pPr>
        <w:pStyle w:val="Corps"/>
      </w:pPr>
      <w:r>
        <w:t xml:space="preserve">Le Sous-traitant ne traite les données que selon les instructions et engagements documentés suivants : [Instructions et confidentialité]. Toute instruction orale ne produit effet qu'après confirmation documentée. Les instructions sont émises par [Canal des instructions], modifiées selon [Modification des instructions] et leurs coûts éventuels suivent [Coût des nouvelles instructions]. Le Sous-traitant conserve la version, l'auteur, la date, le périmètre et l'accusé de réception de chaque instruction pendant la durée convenue.</w:t>
      </w:r>
    </w:p>
    <w:p>
      <w:pPr>
        <w:pStyle w:val="Intertitre"/>
      </w:pPr>
      <w:r>
        <w:t xml:space="preserve">Alerte sur instruction illicite ou hors périmètre</w:t>
      </w:r>
    </w:p>
    <w:p>
      <w:pPr>
        <w:pStyle w:val="Corps"/>
      </w:pPr>
      <w:r>
        <w:t xml:space="preserve">Lorsque le Sous-traitant estime qu’une instruction enfreint le droit applicable ou dépasse l’annexe I, il en informe le Responsable par le canal prévu avant l’opération concernée, sauf interdiction légale de l’informer. Les parties consignent ensuite la décision prise. L'alerte décrit l'instruction, la règle potentiellement méconnue, les opérations suspendues et les mesures conservatoires possibles. Le Responsable confirme, retire ou modifie son instruction par écrit. Aucune exécution silencieuse ne vaut acceptation du risque par l'une ou l'autre partie.</w:t>
      </w:r>
    </w:p>
    <w:p>
      <w:pPr>
        <w:pStyle w:val="Intertitre"/>
      </w:pPr>
      <w:r>
        <w:t xml:space="preserve">Annexe II - Données, personnes et conservation</w:t>
      </w:r>
    </w:p>
    <w:p>
      <w:pPr>
        <w:pStyle w:val="Corps"/>
      </w:pPr>
      <w:r>
        <w:t xml:space="preserve">L'annexe II contient effectivement les catégories de données, personnes concernées, données particulières et règles de conservation suivantes : [Données, personnes et conservation]. Aucune catégorie ou durée n'est ajoutée par défaut. Les catégories de données sont [Catégories de données personnelles], les personnes concernées [Catégories de personnes concernées], les données particulières [Données particulières ou sensibles] et l'échéancier de conservation [Échéancier de conservation]. Pour chaque ensemble, l'annexe précise source, destinataires, fréquence, sensibilité et événement déclenchant la suppression.</w:t>
      </w:r>
    </w:p>
    <w:p>
      <w:pPr>
        <w:pStyle w:val="Intertitre"/>
      </w:pPr>
      <w:r>
        <w:t xml:space="preserve">Limitation de finalité et absence de réutilisation</w:t>
      </w:r>
    </w:p>
    <w:p>
      <w:pPr>
        <w:pStyle w:val="Corps"/>
      </w:pPr>
      <w:r>
        <w:t xml:space="preserve">Le Sous-traitant limite l’accès et l’usage aux opérations de l’annexe I. Il ne réutilise pas les données pour son propre compte, pour une finalité distincte, pour l’entraînement d’un service ou pour un autre client, sauf instruction écrite et qualification juridique préalable. Les statistiques, journaux, sauvegardes, environnements de test et données dérivées restent soumis à cette limitation lorsqu'ils permettent de rattacher une information à une personne. Toute anonymisation invoquée est évaluée et documentée avant un usage distinct, sans présumer qu'une simple pseudonymisation suffit.</w:t>
      </w:r>
    </w:p>
    <w:p>
      <w:pPr>
        <w:pStyle w:val="Intertitre"/>
      </w:pPr>
      <w:r>
        <w:t xml:space="preserve">Modification du périmètre</w:t>
      </w:r>
    </w:p>
    <w:p>
      <w:pPr>
        <w:pStyle w:val="Corps"/>
      </w:pPr>
      <w:r>
        <w:t xml:space="preserve">Toute évolution de finalité, opération, catégorie de données, personnes concernées, durée ou lieu de traitement fait l’objet d’une annexe mise à jour et validée avant sa mise en œuvre. Le silence du Responsable ne vaut ni instruction ni autorisation. La demande de changement indique son motif, son urgence, les systèmes affectés, les risques, les mesures, les sous-traitants, les transferts et l'incidence financière. Les parties conservent l'ancienne version, la nouvelle version et la date d'autorisation pour reconstituer le périmètre applicable.</w:t>
      </w:r>
    </w:p>
    <w:p>
      <w:pPr>
        <w:pStyle w:val="Intertitre"/>
      </w:pPr>
      <w:r>
        <w:t xml:space="preserve">Confidentialité</w:t>
      </w:r>
    </w:p>
    <w:p>
      <w:pPr>
        <w:pStyle w:val="Corps"/>
      </w:pPr>
      <w:r>
        <w:t xml:space="preserve">Le Sous-traitant s’assure que les personnes autorisées à traiter les données sont soumises à une obligation de confidentialité opposable ou à une obligation légale équivalente. Cette obligation subsiste après la fin de leur accès, selon les engagements documentés en annexe. Le Sous-traitant informe les personnes autorisées du caractère confidentiel des données, limite les copies et prévoit une procédure disciplinaire ou contractuelle adaptée. Les accès, engagements, formations et retraits d'habilitation sont traçables. Une divulgation légalement requise est signalée au Responsable lorsque le droit le permet.</w:t>
      </w:r>
    </w:p>
    <w:p>
      <w:pPr>
        <w:pStyle w:val="Intertitre"/>
      </w:pPr>
      <w:r>
        <w:t xml:space="preserve">Personnes autorisées et habilitations</w:t>
      </w:r>
    </w:p>
    <w:p>
      <w:pPr>
        <w:pStyle w:val="Corps"/>
      </w:pPr>
      <w:r>
        <w:t xml:space="preserve">Le Sous-traitant attribue les habilitations nécessaires au seul personnel autorisé, les révise selon le processus renseigné et retire les accès devenus inutiles. Il conserve les éléments de preuve prévus en annexe sans prétendre à un niveau de sécurité non documenté. Les droits sont nominatifs, attribués selon le moindre privilège, approuvés par un responsable identifié et revus à une fréquence adaptée au risque. Les comptes partagés sont interdits sauf justification et contrôle compensatoire. Les départs, changements de fonction et accès temporaires déclenchent une révocation documentée.</w:t>
      </w:r>
    </w:p>
    <w:p>
      <w:pPr>
        <w:pStyle w:val="Intertitre"/>
      </w:pPr>
      <w:r>
        <w:t xml:space="preserve">Registres et éléments de preuve</w:t>
      </w:r>
    </w:p>
    <w:p>
      <w:pPr>
        <w:pStyle w:val="Corps"/>
      </w:pPr>
      <w:r>
        <w:t xml:space="preserve">Le Sous-traitant tient les registres et éléments nécessaires à ses obligations applicables et met à disposition du Responsable les informations prévues par le présent accord. Les preuves communiquées restent limitées au périmètre de traitement et protégées par les obligations de confidentialité. Les éléments comprennent les catégories d'activités, responsables servis, sous-traitants ultérieurs, transferts, mesures de sécurité, instructions, incidents et décisions significatives. Leur remise respecte les secrets, droits des tiers et données d'autres clients. Le Sous-traitant explique toute impossibilité de produire une preuve demandée.</w:t>
      </w:r>
    </w:p>
    <w:p>
      <w:pPr>
        <w:pStyle w:val="Intertitre"/>
      </w:pPr>
      <w:r>
        <w:t xml:space="preserve">Annexe III - Mesures de sécurité</w:t>
      </w:r>
    </w:p>
    <w:p>
      <w:pPr>
        <w:pStyle w:val="Corps"/>
      </w:pPr>
      <w:r>
        <w:t xml:space="preserve">Conformément à [Référence de sécurité], l'annexe III contient les mesures techniques et organisationnelles effectivement retenues : [Mesures de sécurité]. Elle précise périmètre, responsables, contrôle et révision et ne peut être remplacée par une formule générale. Les preuves de mise en œuvre sont [Preuves des mesures de sécurité], les tests et revues suivent [Programme de test des mesures] et les changements significatifs sont notifiés selon [Notification des changements de sécurité]. Chaque mesure identifie son objectif, son propriétaire, son périmètre, sa fréquence de contrôle et les écarts ouverts.</w:t>
      </w:r>
    </w:p>
    <w:p>
      <w:pPr>
        <w:pStyle w:val="Intertitre"/>
      </w:pPr>
      <w:r>
        <w:t xml:space="preserve"> — choisir une seule variante</w:t>
      </w:r>
    </w:p>
    <w:p>
      <w:pPr>
        <w:pStyle w:val="Variante"/>
      </w:pPr>
      <w:r>
        <w:t xml:space="preserve">Variante : Mise en œuvre des mesures vérifiées</w:t>
      </w:r>
    </w:p>
    <w:p>
      <w:pPr>
        <w:pStyle w:val="Corps"/>
      </w:pPr>
      <w:r>
        <w:t xml:space="preserve">Le Sous-traitant met en œuvre les mesures précisément décrites à l’annexe III pendant la prestation et informe le Responsable de toute incapacité significative à les maintenir. Toute mesure nouvelle ou supprimée est évaluée et documentée avant de modifier le niveau de protection convenu. Le suivi rapproche les contrôles exécutés des actifs, traitements et risques décrits. Un écart est qualifié, assorti d'une mesure compensatoire et d'une échéance. Le Responsable reçoit les informations nécessaires pour apprécier l'effet du changement sans accéder à des secrets ou données étrangères au service.</w:t>
      </w:r>
    </w:p>
    <w:p>
      <w:pPr>
        <w:pStyle w:val="Variante"/>
      </w:pPr>
      <w:r>
        <w:t xml:space="preserve">Variante : Mesures et revue renforcée</w:t>
      </w:r>
    </w:p>
    <w:p>
      <w:pPr>
        <w:pStyle w:val="Corps"/>
      </w:pPr>
      <w:r>
        <w:t xml:space="preserve">Les parties ont identifié un besoin de revue renforcée tout en fournissant les mesures et le workflow requis. Le Sous-traitant applique l’annexe III et soumet les évolutions identifiées à la revue humaine convenue; cette clause ne crée pas de mesure qui ne figure pas dans l’annexe. La revue renforcée précise les événements déclencheurs, participants, pièces, critères d'acceptation et fréquence. Elle examine notamment les traitements sensibles, changements d'architecture, accès privilégiés, résultats de tests et écarts majeurs. Les conclusions, réserves et décisions sont consignées avant la poursuite des opérations affectées.</w:t>
      </w:r>
    </w:p>
    <w:p>
      <w:pPr>
        <w:pStyle w:val="Intertitre"/>
      </w:pPr>
      <w:r>
        <w:t xml:space="preserve">Continuité et rétablissement</w:t>
      </w:r>
    </w:p>
    <w:p>
      <w:pPr>
        <w:pStyle w:val="Corps"/>
      </w:pPr>
      <w:r>
        <w:t xml:space="preserve">Le Sous-traitant applique les mesures de continuité et de rétablissement suivantes : [Continuité de service]. Aucun objectif de reprise ou niveau de service n'est supposé au-delà de cette description. La description distingue disponibilité du service, sauvegarde, restauration, redondance, reprise et gestion de crise. Elle indique responsables, dépendances, objectifs, ordre de reprise et preuves de test. Un résultat insuffisant donne lieu à un plan correctif, sans transformer un objectif non convenu en garantie implicite.</w:t>
      </w:r>
    </w:p>
    <w:p>
      <w:pPr>
        <w:pStyle w:val="Intertitre"/>
      </w:pPr>
      <w:r>
        <w:t xml:space="preserve">Assistance pour les droits des personnes</w:t>
      </w:r>
    </w:p>
    <w:p>
      <w:pPr>
        <w:pStyle w:val="Corps"/>
      </w:pPr>
      <w:r>
        <w:t xml:space="preserve">Le Sous-traitant assiste le Responsable selon la répartition, les canaux et les délais suivants : [Assistance droits, AIPD et autorité]. Il ne répond pas au fond au nom du Responsable hors mandat explicite. Toute demande reçue par le Sous-traitant est transmise dans [Délai de transmission des demandes] avec son contenu, sa date, l'identité du canal et les données utiles disponibles. L'assistance couvre recherche, extraction, rectification, limitation, suppression ou portabilité selon les instructions, tout en préservant les droits des tiers.</w:t>
      </w:r>
    </w:p>
    <w:p>
      <w:pPr>
        <w:pStyle w:val="Intertitre"/>
      </w:pPr>
      <w:r>
        <w:t xml:space="preserve">Réception des demandes</w:t>
      </w:r>
    </w:p>
    <w:p>
      <w:pPr>
        <w:pStyle w:val="Corps"/>
      </w:pPr>
      <w:r>
        <w:t xml:space="preserve">Toute demande reçue directement par le Sous-traitant est transmise au Responsable par le canal et dans le délai opérationnel décrits en annexe, sauf instruction documentée permettant une autre intervention. Le Sous-traitant conserve les informations utiles au suivi dans le périmètre autorisé. Le Sous-traitant n'exige pas de la personne des informations étrangères à la transmission et ne confirme pas l'existence de données sans instruction. Il protège la demande, limite ses destinataires, conserve la preuve de transfert et signale immédiatement toute difficulté susceptible de compromettre le délai du Responsable.</w:t>
      </w:r>
    </w:p>
    <w:p>
      <w:pPr>
        <w:pStyle w:val="Intertitre"/>
      </w:pPr>
      <w:r>
        <w:t xml:space="preserve">Notification d’une violation au Responsable</w:t>
      </w:r>
    </w:p>
    <w:p>
      <w:pPr>
        <w:pStyle w:val="Corps"/>
      </w:pPr>
      <w:r>
        <w:t xml:space="preserve">Après avoir pris connaissance d'une violation de données personnelles, le Sous-traitant applique le processus suivant : [Incident et audit]. Il informe le Responsable sans délai injustifié; cette information ne vaut pas notification à l'autorité. Le premier signalement intervient dans [Délai d'alerte incident] et la préservation des éléments suit [Préservation des preuves d'incident]. Il indique le contact de crise, les systèmes affectés, les mesures immédiates et la prochaine échéance d'information. Les éléments incomplets sont fournis progressivement sans retarder l'alerte initiale.</w:t>
      </w:r>
    </w:p>
    <w:p>
      <w:pPr>
        <w:pStyle w:val="Intertitre"/>
      </w:pPr>
      <w:r>
        <w:t xml:space="preserve">Contenu et suivi de l’incident</w:t>
      </w:r>
    </w:p>
    <w:p>
      <w:pPr>
        <w:pStyle w:val="Corps"/>
      </w:pPr>
      <w:r>
        <w:t xml:space="preserve">Le Sous-traitant fournit les éléments disponibles sur la nature de l’incident, les données et personnes potentiellement concernées, les conséquences probables, les mesures prises ou envisagées et les mises à jour prévues. Il conserve une traçabilité du traitement de l’incident selon l’annexe opérationnelle. Les mises à jour distinguent faits établis, hypothèses, périmètre encore incertain et mesures de réduction. Elles précisent la chronologie, les catégories et volumes estimés, les destinataires, les risques et les actions correctives. La clôture s'accompagne d'une analyse causale et des mesures empêchant la récurrence.</w:t>
      </w:r>
    </w:p>
    <w:p>
      <w:pPr>
        <w:pStyle w:val="Intertitre"/>
      </w:pPr>
      <w:r>
        <w:t xml:space="preserve">AIPD et consultation préalable</w:t>
      </w:r>
    </w:p>
    <w:p>
      <w:pPr>
        <w:pStyle w:val="Corps"/>
      </w:pPr>
      <w:r>
        <w:t xml:space="preserve">Le Sous-traitant fournit au Responsable l’assistance et les informations convenues pour une analyse d’impact relative à la protection des données et, lorsque nécessaire, une consultation préalable. Il ne décide pas seul de la nécessité de ces démarches ni de leur contenu. L'assistance peut comprendre architecture, flux, mesures, sous-traitants, transferts, journaux, incidents connus et alternatives techniques. Le Sous-traitant fournit les éléments qu'il détient dans le délai convenu et identifie les limites de ses informations. Le Responsable conserve la décision et la relation avec l'autorité.</w:t>
      </w:r>
    </w:p>
    <w:p>
      <w:pPr>
        <w:pStyle w:val="Intertitre"/>
      </w:pPr>
      <w:r>
        <w:t xml:space="preserve">Coopération avec l’autorité</w:t>
      </w:r>
    </w:p>
    <w:p>
      <w:pPr>
        <w:pStyle w:val="Corps"/>
      </w:pPr>
      <w:r>
        <w:t xml:space="preserve">Le Sous-traitant coopère, dans les limites de ses obligations applicables et du périmètre convenu, avec l’autorité de contrôle compétente. Il informe le Responsable de toute demande directement reçue lorsque le droit le permet et coordonne les réponses selon le canal défini. La coopération porte sur les informations et actions relevant du traitement confié. Toute demande est authentifiée, enregistrée et transmise au contact convenu. Les parties coordonnent le calendrier, la confidentialité, la conservation des preuves et les réponses, sans dissimuler une obligation propre directement applicable au Sous-traitant.</w:t>
      </w:r>
    </w:p>
    <w:p>
      <w:pPr>
        <w:pStyle w:val="Intertitre"/>
      </w:pPr>
      <w:r>
        <w:t xml:space="preserve"> — choisir une seule variante</w:t>
      </w:r>
    </w:p>
    <w:p>
      <w:pPr>
        <w:pStyle w:val="Variante"/>
      </w:pPr>
      <w:r>
        <w:t xml:space="preserve">Variante : Absence de sous-traitant ultérieur</w:t>
      </w:r>
    </w:p>
    <w:p>
      <w:pPr>
        <w:pStyle w:val="Corps"/>
      </w:pPr>
      <w:r>
        <w:t xml:space="preserve">Les parties confirment qu'aucun sous-traitant ultérieur n'intervient dans le traitement décrit. Toute évolution requiert une autorisation écrite et une mise à jour de l'annexe. Le Sous-traitant tient néanmoins une vérification périodique des fournisseurs, hébergeurs et intervenants susceptibles d'accéder aux données afin de confirmer cette déclaration. Un simple achat d'infrastructure n'est pas exclu de l'analyse lorsque le fournisseur traite effectivement des données pour le compte du service.</w:t>
      </w:r>
    </w:p>
    <w:p>
      <w:pPr>
        <w:pStyle w:val="Variante"/>
      </w:pPr>
      <w:r>
        <w:t xml:space="preserve">Variante : Autorisation générale des sous-traitants ultérieurs</w:t>
      </w:r>
    </w:p>
    <w:p>
      <w:pPr>
        <w:pStyle w:val="Corps"/>
      </w:pPr>
      <w:r>
        <w:t xml:space="preserve">Le Responsable accorde une autorisation écrite générale limitée aux sous-traitants identifiés dans [Sous-traitants et localisations]. Ajout, remplacement, préavis et objection suivent le mécanisme documenté dans cette annexe. Le préavis de changement est [Préavis de changement de sous-traitant] et les objections suivent [Procédure d'objection]. L'information précise identité, localisation, activité, données, date envisagée et garanties. Avant l'expiration du délai, le nouveau sous-traitant n'accède pas aux données sauf accord écrit spécifique et documenté.</w:t>
      </w:r>
    </w:p>
    <w:p>
      <w:pPr>
        <w:pStyle w:val="Intertitre"/>
      </w:pPr>
      <w:r>
        <w:t xml:space="preserve"> — choisir une seule variante</w:t>
      </w:r>
    </w:p>
    <w:p>
      <w:pPr>
        <w:pStyle w:val="Variante"/>
      </w:pPr>
      <w:r>
        <w:t xml:space="preserve">Variante : Traitements limités à l'EEE</w:t>
      </w:r>
    </w:p>
    <w:p>
      <w:pPr>
        <w:pStyle w:val="Corps"/>
      </w:pPr>
      <w:r>
        <w:t xml:space="preserve">Les lieux de traitement et d'accès identifiés dans [Sous-traitants et localisations] sont limités à l'Espace économique européen; aucun transfert vers un pays tiers n'est autorisé par cette branche. La liste couvre hébergement, support, administration, télémétrie, sauvegarde et accès à distance. Le Sous-traitant vérifie les lieux réels et informe de tout accès depuis un pays tiers, même temporaire. Une simple adresse contractuelle dans l'EEE ne suffit pas à établir l'absence de transfert.</w:t>
      </w:r>
    </w:p>
    <w:p>
      <w:pPr>
        <w:pStyle w:val="Variante"/>
      </w:pPr>
      <w:r>
        <w:t xml:space="preserve">Variante : Transfert vers un pays tiers</w:t>
      </w:r>
    </w:p>
    <w:p>
      <w:pPr>
        <w:pStyle w:val="Corps"/>
      </w:pPr>
      <w:r>
        <w:t xml:space="preserve">Un transfert ou accès depuis un pays tiers est prévu. Les pays, importateurs, flux, garanties et mesures complémentaires sont décrits par [Garanties de transfert] et contrôlés au regard de [Référence des transferts internationaux] avant tout flux. L'analyse d'impact du transfert est [Analyse d'impact du transfert] et les mesures supplémentaires [Mesures supplémentaires de transfert]. Le dossier identifie l'outil de transfert, la législation et les pratiques pertinentes, les accès publics possibles, les mesures techniques et organisationnelles et la conclusion sur l'efficacité pratique des garanties.</w:t>
      </w:r>
    </w:p>
    <w:p>
      <w:pPr>
        <w:pStyle w:val="Intertitre"/>
      </w:pPr>
      <w:r>
        <w:t xml:space="preserve">Clause optionnelle : Obligations du sous-traitant ultérieur</w:t>
      </w:r>
    </w:p>
    <w:p>
      <w:pPr>
        <w:pStyle w:val="Corps"/>
      </w:pPr>
      <w:r>
        <w:t xml:space="preserve">Lorsqu'un sous-traitant ultérieur est autorisé, le Sous-traitant lui impose les obligations prévues par [Référence des obligations du Sous-traitant], dans les conditions identifiées par [Sous-traitants et localisations]. Le Sous-traitant initial demeure responsable de leur exécution envers le Responsable. Le contrat aval reprend au minimum instruction, confidentialité, sécurité, assistance, incident, audit, transfert, restitution et suppression. Le Sous-traitant initial vérifie les garanties avant engagement, conserve la preuve contractuelle et traite les écarts. Il ne renvoie pas le Responsable directement contre le sous-traitant ultérieur.</w:t>
      </w:r>
    </w:p>
    <w:p>
      <w:pPr>
        <w:pStyle w:val="Intertitre"/>
      </w:pPr>
      <w:r>
        <w:t xml:space="preserve">Registre des lieux et localisations</w:t>
      </w:r>
    </w:p>
    <w:p>
      <w:pPr>
        <w:pStyle w:val="Corps"/>
      </w:pPr>
      <w:r>
        <w:t xml:space="preserve">Le Sous-traitant maintient la liste des sous-traitants éventuels, lieux d'hébergement, lieux d'accès et pays suivante : [Sous-traitants et localisations]. Tout changement déclenchant autorisation, objection ou revue de transfert est notifié avant sa mise en œuvre. La liste indique pour chaque acteur son rôle, service, adresse, pays d'hébergement, pays d'accès, données concernées, date de début et mécanisme de transfert. Une revue périodique rapproche cette liste des fournisseurs techniques et journaux d'accès afin d'identifier les localisations non déclarées.</w:t>
      </w:r>
    </w:p>
    <w:p>
      <w:pPr>
        <w:pStyle w:val="Intertitre"/>
      </w:pPr>
      <w:r>
        <w:t xml:space="preserve">Contrôle des transferts internationaux</w:t>
      </w:r>
    </w:p>
    <w:p>
      <w:pPr>
        <w:pStyle w:val="Corps"/>
      </w:pPr>
      <w:r>
        <w:t xml:space="preserve">Aucun transfert vers un pays tiers ni accès assimilable n'est réalisé hors des garanties décrites par [Garanties de transfert] et contrôlées au regard de [Référence des transferts internationaux]. Toute évolution déclenche une revue documentée avant poursuite du flux. L'évaluation applicable est [Analyse d'impact du transfert] et les mesures complémentaires sont [Mesures supplémentaires de transfert]. Le Sous-traitant surveille les changements de pays, destinataire, outil, accès public ou mesure susceptible d'altérer la conclusion. Un transfert suspendu ne reprend qu'après décision documentée des parties.</w:t>
      </w:r>
    </w:p>
    <w:p>
      <w:pPr>
        <w:pStyle w:val="Intertitre"/>
      </w:pPr>
      <w:r>
        <w:t xml:space="preserve"> — choisir une seule variante</w:t>
      </w:r>
    </w:p>
    <w:p>
      <w:pPr>
        <w:pStyle w:val="Variante"/>
      </w:pPr>
      <w:r>
        <w:t xml:space="preserve">Variante : Restitution en fin de prestation</w:t>
      </w:r>
    </w:p>
    <w:p>
      <w:pPr>
        <w:pStyle w:val="Corps"/>
      </w:pPr>
      <w:r>
        <w:t xml:space="preserve">À la fin de la prestation, le Sous-traitant restitue les données puis supprime les copies restantes selon [Fin de prestation et conservation légale]. Toute copie conservée doit relever d'une exception légale documentée. Le format et le canal de restitution sont [Format de restitution] et la preuve de suppression est [Preuve de suppression]. Le Sous-traitant vérifie l'intégrité, remet les clés et métadonnées nécessaires, obtient l'accusé de réception puis supprime les copies opérationnelles et sauvegardes selon leur cycle documenté.</w:t>
      </w:r>
    </w:p>
    <w:p>
      <w:pPr>
        <w:pStyle w:val="Variante"/>
      </w:pPr>
      <w:r>
        <w:t xml:space="preserve">Variante : Suppression en fin de prestation</w:t>
      </w:r>
    </w:p>
    <w:p>
      <w:pPr>
        <w:pStyle w:val="Corps"/>
      </w:pPr>
      <w:r>
        <w:t xml:space="preserve">À la fin de la prestation, le Sous-traitant supprime les données et les copies selon [Fin de prestation et conservation légale] et fournit la preuve prévue, sans déclarer une suppression qui ne peut être vérifiée. La preuve de suppression est [Preuve de suppression] et identifie systèmes, environnements, sauvegardes, sous-traitants, méthode, date et responsable. Lorsqu'une suppression immédiate d'une sauvegarde est impossible, la copie est isolée, protégée, non restaurée sauf incident et supprimée à la prochaine échéance prévue.</w:t>
      </w:r>
    </w:p>
    <w:p>
      <w:pPr>
        <w:pStyle w:val="Intertitre"/>
      </w:pPr>
      <w:r>
        <w:t xml:space="preserve">Exception de conservation légale</w:t>
      </w:r>
    </w:p>
    <w:p>
      <w:pPr>
        <w:pStyle w:val="Corps"/>
      </w:pPr>
      <w:r>
        <w:t xml:space="preserve">Toute conservation légale résiduelle est limitée, isolée et documentée dans [Fin de prestation et conservation légale]. Elle ne justifie aucun traitement ultérieur ni conservation indéterminée. L'échéancier applicable est [Échéancier de conservation] et précise la base juridique, les données, le support, le responsable, l'accès autorisé et la date de suppression. Le Sous-traitant informe le Responsable de l'exception lorsque le droit le permet et atteste la suppression à son terme.</w:t>
      </w:r>
    </w:p>
    <w:p>
      <w:pPr>
        <w:pStyle w:val="Intertitre"/>
      </w:pPr>
      <w:r>
        <w:t xml:space="preserve"> — choisir une seule variante</w:t>
      </w:r>
    </w:p>
    <w:p>
      <w:pPr>
        <w:pStyle w:val="Variante"/>
      </w:pPr>
      <w:r>
        <w:t xml:space="preserve">Variante : Information et audit documentaire</w:t>
      </w:r>
    </w:p>
    <w:p>
      <w:pPr>
        <w:pStyle w:val="Corps"/>
      </w:pPr>
      <w:r>
        <w:t xml:space="preserve">Le Sous-traitant fournit les informations et preuves selon le processus suivant : [Incident et audit]. L'audit documentaire constitue le premier niveau de contrôle, proportionné au traitement. Les preuves peuvent comprendre politiques, rapports, certifications, résultats de tests, extraits de registres et plans correctifs correspondant au service. Le Responsable motive les compléments utiles. Le Sous-traitant signale la portée, date et réserves de chaque pièce afin d'éviter une confiance hors périmètre.</w:t>
      </w:r>
    </w:p>
    <w:p>
      <w:pPr>
        <w:pStyle w:val="Variante"/>
      </w:pPr>
      <w:r>
        <w:t xml:space="preserve">Variante : Audit sur site proportionné</w:t>
      </w:r>
    </w:p>
    <w:p>
      <w:pPr>
        <w:pStyle w:val="Corps"/>
      </w:pPr>
      <w:r>
        <w:t xml:space="preserve">Après la revue documentaire, un audit sur site peut être conduit selon [Incident et audit], avec préavis, périmètre, confidentialité, sécurité et coûts documentés, sans accès aux données d'autres clients. L'audit intervient en cas de risque, incident, doute documenté ou insuffisance des preuves, sans fréquence abusive. Le plan identifie auditeur, objectifs, systèmes, calendrier et livrables. Les constats sont contradictoires, classés par gravité et suivis jusqu'à clôture avec preuve des mesures correctives.</w:t>
      </w:r>
    </w:p>
    <w:p>
      <w:pPr>
        <w:pStyle w:val="Intertitre"/>
      </w:pPr>
      <w:r>
        <w:t xml:space="preserve">Contacts et notifications</w:t>
      </w:r>
    </w:p>
    <w:p>
      <w:pPr>
        <w:pStyle w:val="Corps"/>
      </w:pPr>
      <w:r>
        <w:t xml:space="preserve">Les parties utilisent exclusivement les contacts et canaux suivants pour instructions, droits, incidents, audits et notifications : [Canaux de contact]. Toute modification doit être confirmée; aucune adresse n'est créée par défaut. La liste distingue les contacts opérationnels, juridiques, sécurité, DPO, incident et audit ainsi que leurs suppléants. Une notification indique l'objet, le traitement, l'urgence et les pièces. L'expéditeur conserve l'envoi et l'accusé de réception ; un échec déclenche le canal de secours convenu.</w:t>
      </w:r>
    </w:p>
    <w:p>
      <w:pPr>
        <w:pStyle w:val="Intertitre"/>
      </w:pPr>
      <w:r>
        <w:t xml:space="preserve">Responsabilité et contrat principal</w:t>
      </w:r>
    </w:p>
    <w:p>
      <w:pPr>
        <w:pStyle w:val="Corps"/>
      </w:pPr>
      <w:r>
        <w:t xml:space="preserve">La responsabilité demeure régie par [Contrat principal et responsabilité] et les obligations impératives applicables. Le DPA ne modifie pas silencieusement les limitations, garanties ou responsabilités du contrat principal. Cette articulation ne réduit pas les obligations directement imposées au Sous-traitant ni la responsabilité envers les personnes ou autorités prévue par le droit applicable. Les parties identifient le plafond, les exclusions et les assurances du contrat principal sans présenter le DPA comme une validation de leur efficacité juridique.</w:t>
      </w:r>
    </w:p>
    <w:p>
      <w:pPr>
        <w:pStyle w:val="Intertitre"/>
      </w:pPr>
      <w:r>
        <w:t xml:space="preserve">Durée et résiliation</w:t>
      </w:r>
    </w:p>
    <w:p>
      <w:pPr>
        <w:pStyle w:val="Corps"/>
      </w:pPr>
      <w:r>
        <w:t xml:space="preserve">Le présent accord prend effet avec la prestation identifiée et suit sa durée, sauf disposition écrite contraire. La cessation de la prestation déclenche les obligations de fin de service, de confidentialité, de coopération et de conservation légale qui doivent survivre selon leur objet. La survie couvre notamment confidentialité, preuve, coopération, audit en cours, restitution, suppression et conservation légale. La résiliation du DPA entraîne la suspension des traitements qui ne disposent plus d'un encadrement valide. Les parties organisent la transition sans prolonger tacitement une instruction expirée.</w:t>
      </w:r>
    </w:p>
    <w:p>
      <w:pPr>
        <w:pStyle w:val="Intertitre"/>
      </w:pPr>
      <w:r>
        <w:t xml:space="preserve">Annexes et cohérence</w:t>
      </w:r>
    </w:p>
    <w:p>
      <w:pPr>
        <w:pStyle w:val="Corps"/>
      </w:pPr>
      <w:r>
        <w:t xml:space="preserve">Les annexes de qualification, traitement, données, sécurité, sous-traitants, transferts, assistance, incidents, audit et contacts font partie du présent accord. En cas de contradiction, les parties suspendent l’opération concernée et documentent une clarification écrite avant de poursuivre le traitement. Chaque annexe porte un identifiant, une version, une date, un propriétaire et une approbation. Le registre contractuel indique celle qui est en vigueur. Une clarification ne peut rétroactivement autoriser un traitement non encadré ; elle précise les mesures prises pour la période concernée et les notifications éventuelles.</w:t>
      </w:r>
    </w:p>
    <w:p>
      <w:pPr>
        <w:pStyle w:val="Intertitre"/>
      </w:pPr>
      <w:r>
        <w:t xml:space="preserve">Signatures</w:t>
      </w:r>
    </w:p>
    <w:p>
      <w:pPr>
        <w:pStyle w:val="Corps"/>
      </w:pPr>
      <w:r>
        <w:t xml:space="preserve">Fait à [Lieu de signature], le [Date de signature]. Pour le Responsable : [Signataire du Responsable], [Qualité du signataire du Responsable], habilité par [Pouvoir du signataire du Responsable]. Pour le Sous-traitant : [Signataire du Sous-traitant], [Qualité du signataire du Sous-traitant], habilité par [Pouvoir du signataire du Sous-traitant]. Signatures des deux représentants habilités. Chaque signataire déclare engager la partie qu'il représente pour le périmètre identifié. Les annexes I à III, la liste des sous-traitants, les transferts, les processus d'assistance, d'incident, d'audit et de fin de service sont référencés par version. Le procédé de signature établit l'intégrité et la conservation de l'ensemble.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