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DEMANDE D'EXERCICE DU DROIT DE RÉPONSE</w:t>
      </w:r>
    </w:p>
    <w:p>
      <w:pPr>
        <w:pStyle w:val="Intertitre"/>
      </w:pPr>
      <w:r>
        <w:t xml:space="preserve">Destinataire de la demande</w:t>
      </w:r>
    </w:p>
    <w:p>
      <w:pPr>
        <w:pStyle w:val="Corps"/>
      </w:pPr>
      <w:r>
        <w:t xml:space="preserve">La demande est adressée à [Directeur de publication], directeur de la publication [Nom de la publication]. Elle est formée par [Répliqueur], personnellement nommé ou désigné dans la publication, représenté le cas échéant par [Représentant du requérant]. L'identité du destinataire et le pouvoir du représentant sont vérifiés avant l'envoi.</w:t>
      </w:r>
    </w:p>
    <w:p>
      <w:pPr>
        <w:pStyle w:val="Intertitre"/>
      </w:pPr>
      <w:r>
        <w:t xml:space="preserve">Support de publication — choisir une seule variante</w:t>
      </w:r>
    </w:p>
    <w:p>
      <w:pPr>
        <w:pStyle w:val="Variante"/>
      </w:pPr>
      <w:r>
        <w:t xml:space="preserve">Variante : Publication en ligne</w:t>
      </w:r>
    </w:p>
    <w:p>
      <w:pPr>
        <w:pStyle w:val="Corps"/>
      </w:pPr>
      <w:r>
        <w:t xml:space="preserve">Le message est accessible à [Cible de l'url], mis à la disposition du public le [Date de publication en ligne] et identifié par [Référence du contenu publié en ligne]. Une copie horodatée conserve le texte, le titre, l'auteur apparent, les médias et le contexte. La demande relève de l'article 1-1, III, de la LCEN et des modalités réglementaires applicables au droit de réponse en ligne.</w:t>
      </w:r>
    </w:p>
    <w:p>
      <w:pPr>
        <w:pStyle w:val="Corps"/>
      </w:pPr>
      <w:r>
        <w:t xml:space="preserve">Le dossier vérifie également si le service permettait au demandeur de formuler directement les observations appelées par le message, situation qui doit être examinée au regard du décret. L'éditeur professionnel, l'éditeur non professionnel et le fournisseur d'hébergement ne sont pas confondus.</w:t>
      </w:r>
    </w:p>
    <w:p>
      <w:pPr>
        <w:pStyle w:val="Variante"/>
      </w:pPr>
      <w:r>
        <w:t xml:space="preserve">Variante : Publication imprimée</w:t>
      </w:r>
    </w:p>
    <w:p>
      <w:pPr>
        <w:pStyle w:val="Corps"/>
      </w:pPr>
      <w:r>
        <w:t xml:space="preserve">La mise en cause figure dans le numéro [Référence de l'émission] daté du [Date de publication], à l'emplacement [Emplacement de l'impression] et dans l'édition ou la diffusion [Informations sur la circulation]. Une copie complète du numéro établit le contexte, la place et la longueur de l'article. La demande est formée selon l'article 13 de la loi sur la liberté de la presse.</w:t>
      </w:r>
    </w:p>
    <w:p>
      <w:pPr>
        <w:pStyle w:val="Corps"/>
      </w:pPr>
      <w:r>
        <w:t xml:space="preserve">Le caractère quotidien ou non quotidien du périodique est identifié, car il détermine le moment de l'insertion. L'édition demandée est limitée à celle dans laquelle l'article a paru ; une diffusion nationale n'est pas exigée sur la seule base d'une publication locale.</w:t>
      </w:r>
    </w:p>
    <w:p>
      <w:pPr>
        <w:pStyle w:val="Intertitre"/>
      </w:pPr>
      <w:r>
        <w:t xml:space="preserve">Passage mettant en cause le demandeur</w:t>
      </w:r>
    </w:p>
    <w:p>
      <w:pPr>
        <w:pStyle w:val="Corps"/>
      </w:pPr>
      <w:r>
        <w:t xml:space="preserve">Le passage qui nomme ou désigne le demandeur est reproduit ou précisément localisé ainsi : [Déclenchement du passage]. Son contexte est [Contexte des publications]. La demande ne se limite pas à exprimer un désaccord général : elle relie la personne concernée au message exact auquel la réponse doit être insérée.</w:t>
      </w:r>
    </w:p>
    <w:p>
      <w:pPr>
        <w:pStyle w:val="Intertitre"/>
      </w:pPr>
      <w:r>
        <w:t xml:space="preserve">Preuve de publication</w:t>
      </w:r>
    </w:p>
    <w:p>
      <w:pPr>
        <w:pStyle w:val="Corps"/>
      </w:pPr>
      <w:r>
        <w:t xml:space="preserve">La preuve [Preuves de publication] établit le contenu, le support, la date de diffusion ou de mise en ligne et la désignation du demandeur. Les pages, fichiers, URL, métadonnées et constats sont conservés dans un format permettant de vérifier l'état de la publication au jour pertinent.</w:t>
      </w:r>
    </w:p>
    <w:p>
      <w:pPr>
        <w:pStyle w:val="Intertitre"/>
      </w:pPr>
      <w:r>
        <w:t xml:space="preserve">Clause optionnelle : Republications</w:t>
      </w:r>
    </w:p>
    <w:p>
      <w:pPr>
        <w:pStyle w:val="Corps"/>
      </w:pPr>
      <w:r>
        <w:t xml:space="preserve">Les autres publications figurent dans [Calendrier de publication supplémentaire] et sont établies par [Preuves de la République]. Chaque support, édition, URL et date fait l'objet d'un contrôle distinct ; une demande unique n'est pas supposée couvrir une republication qui relève d'un autre directeur ou d'un autre délai.</w:t>
      </w:r>
    </w:p>
    <w:p>
      <w:pPr>
        <w:pStyle w:val="Intertitre"/>
      </w:pPr>
      <w:r>
        <w:t xml:space="preserve">Texte de la réponse</w:t>
      </w:r>
    </w:p>
    <w:p>
      <w:pPr>
        <w:pStyle w:val="Corps"/>
      </w:pPr>
      <w:r>
        <w:t xml:space="preserve">Le demandeur requiert l'insertion fidèle du texte suivant : [Texte de la réponse]. Le contrôle [Examen de la conformité des réponses] vérifie son lien avec la mise en cause, sa licéité, sa longueur et l'absence d'éléments étrangers à la réponse. Le texte à insérer est figé dans l'exemplaire envoyé et distingué des explications ou pièces d'accompagnement.</w:t>
      </w:r>
    </w:p>
    <w:p>
      <w:pPr>
        <w:pStyle w:val="Corps"/>
      </w:pPr>
      <w:r>
        <w:t xml:space="preserve">Pour l'imprimé, le calcul exclut de la réponse l'adresse, les salutations, les réquisitions d'usage et la signature selon le texte applicable. Pour l'en ligne, le contrôle compare la longueur au message déclencheur ou à sa transcription et vérifie le plafond réglementaire.</w:t>
      </w:r>
    </w:p>
    <w:p>
      <w:pPr>
        <w:pStyle w:val="Intertitre"/>
      </w:pPr>
      <w:r>
        <w:t xml:space="preserve">Emplacement et présentation</w:t>
      </w:r>
    </w:p>
    <w:p>
      <w:pPr>
        <w:pStyle w:val="Corps"/>
      </w:pPr>
      <w:r>
        <w:t xml:space="preserve">L'insertion est demandée avec [Préalablement demandé], dans le délai [Date limite de publication] et selon [Prescriptions en matière de formatage]. Pour l'imprimé, la place, les caractères, l'absence d'intercalation et l'édition concernée sont vérifiés. Pour le service en ligne, l'accessibilité et la présentation permettent de rattacher la réponse au message initial.</w:t>
      </w:r>
    </w:p>
    <w:p>
      <w:pPr>
        <w:pStyle w:val="Intertitre"/>
      </w:pPr>
      <w:r>
        <w:t xml:space="preserve">Clause optionnelle : Rectification factuelle complémentaire</w:t>
      </w:r>
    </w:p>
    <w:p>
      <w:pPr>
        <w:pStyle w:val="Corps"/>
      </w:pPr>
      <w:r>
        <w:t xml:space="preserve">Indépendamment de l'insertion, les erreurs factuelles [Erreurs factuelles] font l'objet de la rectification [Correction demandée] sur le fondement des pièces [Preuves de correction]. Cette demande complémentaire est séparée du texte de réponse afin de ne pas modifier ses conditions légales ni créer une renonciation.</w:t>
      </w:r>
    </w:p>
    <w:p>
      <w:pPr>
        <w:pStyle w:val="Intertitre"/>
      </w:pPr>
      <w:r>
        <w:t xml:space="preserve">Preuve de l'insertion</w:t>
      </w:r>
    </w:p>
    <w:p>
      <w:pPr>
        <w:pStyle w:val="Corps"/>
      </w:pPr>
      <w:r>
        <w:t xml:space="preserve">Après insertion, la preuve attendue est [Preuve de publication]. Elle est conservée selon [Conservation des éléments de preuve] avec la date, l'édition ou l'URL, la place, le texte intégral et les éventuels commentaires ajoutés. Toute insertion tronquée, différée ou publiée sur un autre support est documentée.</w:t>
      </w:r>
    </w:p>
    <w:p>
      <w:pPr>
        <w:pStyle w:val="Intertitre"/>
      </w:pPr>
      <w:r>
        <w:t xml:space="preserve">Contact de suivi</w:t>
      </w:r>
    </w:p>
    <w:p>
      <w:pPr>
        <w:pStyle w:val="Corps"/>
      </w:pPr>
      <w:r>
        <w:t xml:space="preserve">Les échanges peuvent être adressés à [Personne-ressource pour répondre] jusqu'au [Date limite de contact]. Ce contact sert uniquement au suivi matériel et à l'envoi de la preuve ; aucune modification du texte de réponse n'est réputée acceptée sans confirmation expresse du demandeur ou de son représentant habilité.</w:t>
      </w:r>
    </w:p>
    <w:p>
      <w:pPr>
        <w:pStyle w:val="Intertitre"/>
      </w:pPr>
      <w:r>
        <w:t xml:space="preserve">Respect des délais</w:t>
      </w:r>
    </w:p>
    <w:p>
      <w:pPr>
        <w:pStyle w:val="Corps"/>
      </w:pPr>
      <w:r>
        <w:t xml:space="preserve">Le calendrier applicable est consigné dans [Calendrier obligatoire] à partir d'une date de publication et d'une réception prouvées. Le dossier distingue délai d'exercice, délai d'insertion et éventuel délai contentieux. Aucune date de départ, suspension ou prorogation n'est ajoutée sans fondement vérifié.</w:t>
      </w:r>
    </w:p>
    <w:p>
      <w:pPr>
        <w:pStyle w:val="Corps"/>
      </w:pPr>
      <w:r>
        <w:t xml:space="preserve">Le suivi mentionne enfin la date limite calculée, la date effective d'envoi et celle de réception. Toute republication, correction ou maintien en ligne postérieur est analysé séparément et n'est pas traité automatiquement comme un nouveau point de départ.</w:t>
      </w:r>
    </w:p>
    <w:p>
      <w:pPr>
        <w:pStyle w:val="Intertitre"/>
      </w:pPr>
      <w:r>
        <w:t xml:space="preserve">Suites envisagées</w:t>
      </w:r>
    </w:p>
    <w:p>
      <w:pPr>
        <w:pStyle w:val="Corps"/>
      </w:pPr>
      <w:r>
        <w:t xml:space="preserve">À défaut d'insertion fidèle et dans le délai applicable, les démarches envisagées sont [Recours envisagés]. Les délais correspondants figurent dans [Délais de procédure]. La lettre ne présente ni condamnation, ni exécution, ni réparation comme acquise et réserve le choix de la voie compétente après contrôle du refus.</w:t>
      </w:r>
    </w:p>
    <w:p>
      <w:pPr>
        <w:pStyle w:val="Intertitre"/>
      </w:pPr>
      <w:r>
        <w:t xml:space="preserve">Pièces jointes</w:t>
      </w:r>
    </w:p>
    <w:p>
      <w:pPr>
        <w:pStyle w:val="Corps"/>
      </w:pPr>
      <w:r>
        <w:t xml:space="preserve">Le bordereau [Calendrier des pièces jointes] recense la publication complète ou sa copie fidèle, le passage identifié, le texte de réponse, le calcul de longueur, le mandat éventuel et la preuve de l'identité. Chaque pièce annoncée est effectivement jointe ou signalée comme restant à obtenir.</w:t>
      </w:r>
    </w:p>
    <w:p>
      <w:pPr>
        <w:pStyle w:val="Intertitre"/>
      </w:pPr>
      <w:r>
        <w:t xml:space="preserve">Envoi de la demande</w:t>
      </w:r>
    </w:p>
    <w:p>
      <w:pPr>
        <w:pStyle w:val="Corps"/>
      </w:pPr>
      <w:r>
        <w:t xml:space="preserve">La demande et son texte figé sont envoyés par [Méthode de livraison] le [Date de livraison]. Le canal garantit l'identité du demandeur et permet d'établir la réception, le destinataire, la date et les annexes. La copie conservée doit être strictement identique à l'exemplaire transmis.</w:t>
      </w:r>
    </w:p>
    <w:p>
      <w:pPr>
        <w:pStyle w:val="Intertitre"/>
      </w:pPr>
      <w:r>
        <w:t xml:space="preserve">Fondement selon le support</w:t>
      </w:r>
    </w:p>
    <w:p>
      <w:pPr>
        <w:pStyle w:val="Corps"/>
      </w:pPr>
      <w:r>
        <w:t xml:space="preserve">La présente demande vise exclusivement la publication identifiée et l'insertion fidèle du texte annexé. Selon le support, elle se fonde sur l'article 13 de la loi sur la liberté de la presse ou sur l'article 1-1, III, de la LCEN et ses modalités réglementaires. Elle n'affirme aucun droit pour une personne qui ne serait pas nommée ou désignée.</w:t>
      </w:r>
    </w:p>
    <w:p>
      <w:pPr>
        <w:pStyle w:val="Intertitre"/>
      </w:pPr>
      <w:r>
        <w:t xml:space="preserve">Réserve des autres droits</w:t>
      </w:r>
    </w:p>
    <w:p>
      <w:pPr>
        <w:pStyle w:val="Corps"/>
      </w:pPr>
      <w:r>
        <w:t xml:space="preserve">L'exercice du droit de réponse intervient sans renonciation aux demandes de correction, de suppression ou aux autres voies de droit. Chacune conserve ses propres conditions, délais, preuves et juridiction compétente. La demande n'admet ni la véracité des imputations ni une qualification juridique non vérifiée.</w:t>
      </w:r>
    </w:p>
    <w:p>
      <w:pPr>
        <w:pStyle w:val="Intertitre"/>
      </w:pPr>
      <w:r>
        <w:t xml:space="preserve">Signature</w:t>
      </w:r>
    </w:p>
    <w:p>
      <w:pPr>
        <w:pStyle w:val="Corps"/>
      </w:pPr>
      <w:r>
        <w:t xml:space="preserve">La demande est signée par [Signataire du requérant] après contrôle de son identité, de sa qualité et, le cas échéant, de son mandat. La signature porte sur le même texte de réponse et le même bordereau que ceux expédiés. La preuve d'envoi est conservée avec cet exemplaire définitif.</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