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MISE EN DEMEURE POUR ATTEINTE À DES DROITS DE PROPRIÉTÉ INTELLECTUELLE</w:t>
      </w:r>
    </w:p>
    <w:p>
      <w:pPr>
        <w:pStyle w:val="Intertitre"/>
      </w:pPr>
      <w:r>
        <w:t xml:space="preserve">Titulaire ou représentant</w:t>
      </w:r>
    </w:p>
    <w:p>
      <w:pPr>
        <w:pStyle w:val="Corps"/>
      </w:pPr>
      <w:r>
        <w:t xml:space="preserve">La mise en demeure est émise par [Nom partie a], domicilié ou établi [Adresse partie a]. Sa qualité de titulaire, de cessionnaire habilité ou de mandataire ressort de [Preuve qualité partie a]. Cette pièce est rapprochée du droit précisément invoqué ; la seule exploitation commerciale d'un signe ou d'une œuvre ne suffit pas à établir la titularité.</w:t>
      </w:r>
    </w:p>
    <w:p>
      <w:pPr>
        <w:pStyle w:val="Intertitre"/>
      </w:pPr>
      <w:r>
        <w:t xml:space="preserve">Destinataire</w:t>
      </w:r>
    </w:p>
    <w:p>
      <w:pPr>
        <w:pStyle w:val="Corps"/>
      </w:pPr>
      <w:r>
        <w:t xml:space="preserve">La mise en demeure est adressée à [Nom partie b], à l'adresse [Adresse partie b]. Sa qualité d'auteur allégué des usages, d'exploitant, d'éditeur, de distributeur ou de représentant ressort de [Preuve qualité partie b]. Le destinataire est identifié sans lui attribuer un fait qui ne serait pas établi par les pièces.</w:t>
      </w:r>
    </w:p>
    <w:p>
      <w:pPr>
        <w:pStyle w:val="Intertitre"/>
      </w:pPr>
      <w:r>
        <w:t xml:space="preserve">Objet</w:t>
      </w:r>
    </w:p>
    <w:p>
      <w:pPr>
        <w:pStyle w:val="Corps"/>
      </w:pPr>
      <w:r>
        <w:t xml:space="preserve">Objet : mise en demeure de cesser l'usage [Usage conteste] et de préserver les preuves correspondantes. Le dossier porte la référence [référence dossier] et l'envoi est effectué par [Mode envoi]. Cette lettre constitue une demande amiable documentée ; elle ne présente ni la contrefaçon ni le montant d'un préjudice comme judiciairement établis.</w:t>
      </w:r>
    </w:p>
    <w:p>
      <w:pPr>
        <w:pStyle w:val="Intertitre"/>
      </w:pPr>
      <w:r>
        <w:t xml:space="preserve">Quel droit est invoqué ? — choisir une seule variante</w:t>
      </w:r>
    </w:p>
    <w:p>
      <w:pPr>
        <w:pStyle w:val="Variante"/>
      </w:pPr>
      <w:r>
        <w:t xml:space="preserve">Variante : Droits de marque</w:t>
      </w:r>
    </w:p>
    <w:p>
      <w:pPr>
        <w:pStyle w:val="Corps"/>
      </w:pPr>
      <w:r>
        <w:t xml:space="preserve">Les droits invoqués portent sur [Titres marque]. Pour chaque titre, [Situation titres marque] précise le titulaire inscrit, le numéro, le territoire, les produits et services, le statut et les charges connues. L'analyse distingue l'identité ou la similitude des signes, celle des produits ou services, le risque de confusion et, si elle est invoquée, la renommée de la marque.</w:t>
      </w:r>
    </w:p>
    <w:p>
      <w:pPr>
        <w:pStyle w:val="Variante"/>
      </w:pPr>
      <w:r>
        <w:t xml:space="preserve">Variante : Droits d'auteur</w:t>
      </w:r>
    </w:p>
    <w:p>
      <w:pPr>
        <w:pStyle w:val="Corps"/>
      </w:pPr>
      <w:r>
        <w:t xml:space="preserve">L'œuvre invoquée est [Oeuvre protegee]. Les éléments [Preuves droit auteur] établissent sa date, ses caractéristiques originales, l'identité de l'auteur et la chaîne des droits patrimoniaux jusqu'à la partie requérante. L'analyse vise séparément reproduction, représentation, adaptation ou transformation et ne traite pas la seule ressemblance comme une preuve suffisante.</w:t>
      </w:r>
    </w:p>
    <w:p>
      <w:pPr>
        <w:pStyle w:val="Variante"/>
      </w:pPr>
      <w:r>
        <w:t xml:space="preserve">Variante : Droits cumulés</w:t>
      </w:r>
    </w:p>
    <w:p>
      <w:pPr>
        <w:pStyle w:val="Corps"/>
      </w:pPr>
      <w:r>
        <w:t xml:space="preserve">La demande invoque à la fois les marques [Titres marque] et l'œuvre [Oeuvre protegee]. La matrice [Matrice droits cumules] expose pour chaque droit son titulaire, son objet, les actes réservés, les faits reprochés et les défenses possibles. Les deux régimes ne se renforcent pas automatiquement : chacun doit être démontré de manière autonome.</w:t>
      </w:r>
    </w:p>
    <w:p>
      <w:pPr>
        <w:pStyle w:val="Intertitre"/>
      </w:pPr>
      <w:r>
        <w:t xml:space="preserve">Usages constatés</w:t>
      </w:r>
    </w:p>
    <w:p>
      <w:pPr>
        <w:pStyle w:val="Corps"/>
      </w:pPr>
      <w:r>
        <w:t xml:space="preserve">Les faits sont décrits dans [Tableau usages contestes] par date, support, URL ou lieu, territoire, produit ou service, opérateur et public visé. Les preuves [Preuves usages contestes] sont numérotées, datées et conservées dans leur contexte. Une capture isolée, une page modifiée ou une origine incertaine est signalée comme telle.</w:t>
      </w:r>
    </w:p>
    <w:p>
      <w:pPr>
        <w:pStyle w:val="Corps"/>
      </w:pPr>
      <w:r>
        <w:t xml:space="preserve">Le dossier précise aussi si les usages sont encore accessibles, s'ils ont cessé, s'ils ont été modifiés après constat et s'ils résultent directement du destinataire ou d'un intermédiaire. Cette distinction commande la mesure demandée et évite d'attribuer au destinataire des volumes, territoires ou canaux qui ne sont pas prouvés.</w:t>
      </w:r>
    </w:p>
    <w:p>
      <w:pPr>
        <w:pStyle w:val="Intertitre"/>
      </w:pPr>
      <w:r>
        <w:t xml:space="preserve">Analyse de l'atteinte</w:t>
      </w:r>
    </w:p>
    <w:p>
      <w:pPr>
        <w:pStyle w:val="Corps"/>
      </w:pPr>
      <w:r>
        <w:t xml:space="preserve">L'analyse [Analyse atteinte] compare, selon la branche choisie, les signes et produits ou services, ou les éléments originaux repris et les actes d'exploitation. Elle identifie les ressemblances et différences pertinentes sans conclusion automatique. Les autorisations, exceptions, usages descriptifs, épuisements et autres défenses figurent dans [Analyse moyens defense] avec leur pièce d'appui.</w:t>
      </w:r>
    </w:p>
    <w:p>
      <w:pPr>
        <w:pStyle w:val="Corps"/>
      </w:pPr>
      <w:r>
        <w:t xml:space="preserve">Pour la marque, l'impression d'ensemble, les éléments distinctifs et dominants, le public pertinent et les conditions de commercialisation sont traités sans découpage artificiel. Pour le droit d'auteur, les caractéristiques originales identifiées sont rapprochées des reprises alléguées, en distinguant idée, fonctionnalité, style, éléments imposés et expression protégeable.</w:t>
      </w:r>
    </w:p>
    <w:p>
      <w:pPr>
        <w:pStyle w:val="Intertitre"/>
      </w:pPr>
      <w:r>
        <w:t xml:space="preserve">Qualité pour agir</w:t>
      </w:r>
    </w:p>
    <w:p>
      <w:pPr>
        <w:pStyle w:val="Corps"/>
      </w:pPr>
      <w:r>
        <w:t xml:space="preserve">La chaîne [Chaine titularite et pouvoir] relie l'auteur ou le déposant initial à la partie requérante et au signataire. Chaque cession, licence exclusive, mandat ou changement de titulaire est identifié avec son périmètre. Une discordance de nom, de date, de territoire ou de droit cédé doit être résolue avant l'envoi.</w:t>
      </w:r>
    </w:p>
    <w:p>
      <w:pPr>
        <w:pStyle w:val="Intertitre"/>
      </w:pPr>
      <w:r>
        <w:t xml:space="preserve">Cessation</w:t>
      </w:r>
    </w:p>
    <w:p>
      <w:pPr>
        <w:pStyle w:val="Corps"/>
      </w:pPr>
      <w:r>
        <w:t xml:space="preserve">Il est demandé de cesser précisément [Actes a cesser] au plus tard le [Date limite cessation]. La cessation attendue doit être établie par [Preuve cessation] et couvre uniquement les actes, supports, territoires et droits documentés. Le délai tient compte de la nature des mesures demandées et ne présume aucune reconnaissance du destinataire.</w:t>
      </w:r>
    </w:p>
    <w:p>
      <w:pPr>
        <w:pStyle w:val="Intertitre"/>
      </w:pPr>
      <w:r>
        <w:t xml:space="preserve">Retrait et désactivation</w:t>
      </w:r>
    </w:p>
    <w:p>
      <w:pPr>
        <w:pStyle w:val="Corps"/>
      </w:pPr>
      <w:r>
        <w:t xml:space="preserve">Le retrait, la désactivation ou la suspension demandés suivent [Plan retrait desactivation]. Ce plan identifie les contenus, références, stocks, annonces, comptes et intermédiaires concernés, ainsi que la preuve de chaque mesure. Il n'exige pas la suppression de données dont la conservation est nécessaire à la preuve ou à une obligation légale.</w:t>
      </w:r>
    </w:p>
    <w:p>
      <w:pPr>
        <w:pStyle w:val="Intertitre"/>
      </w:pPr>
      <w:r>
        <w:t xml:space="preserve">Conservation des preuves</w:t>
      </w:r>
    </w:p>
    <w:p>
      <w:pPr>
        <w:pStyle w:val="Corps"/>
      </w:pPr>
      <w:r>
        <w:t xml:space="preserve">Le destinataire est invité à préserver [Categories preuves a preserver] dans leur état, avec leurs métadonnées, historiques, volumes et pièces commerciales. Cette demande vise à éviter l'altération d'éléments pertinents ; elle n'autorise ni accès à un système, ni divulgation indiscriminée de données confidentielles ou personnelles.</w:t>
      </w:r>
    </w:p>
    <w:p>
      <w:pPr>
        <w:pStyle w:val="Intertitre"/>
      </w:pPr>
      <w:r>
        <w:t xml:space="preserve">Clause optionnelle : Informations demandées</w:t>
      </w:r>
    </w:p>
    <w:p>
      <w:pPr>
        <w:pStyle w:val="Corps"/>
      </w:pPr>
      <w:r>
        <w:t xml:space="preserve">Les informations demandées sont [Informations demandees]. Elles sont limitées à l'origine, aux quantités, aux canaux, aux destinataires professionnels et aux revenus directement liés aux actes identifiés, sous réserve d'une base procédurale applicable. La lettre distingue une demande volontaire d'une injonction qui ne pourrait résulter que d'une procédure compétente.</w:t>
      </w:r>
    </w:p>
    <w:p>
      <w:pPr>
        <w:pStyle w:val="Intertitre"/>
      </w:pPr>
      <w:r>
        <w:t xml:space="preserve">Clause optionnelle : Proposition de règlement</w:t>
      </w:r>
    </w:p>
    <w:p>
      <w:pPr>
        <w:pStyle w:val="Corps"/>
      </w:pPr>
      <w:r>
        <w:t xml:space="preserve">La demande financière est [Demande financiere] et son calcul repose sur [Justificatifs demande financiere]. Les postes sont ventilés entre conséquences économiques négatives, bénéfices pertinents et éventuel préjudice moral, sans double compte. Aucun montant de démonstration, forfait automatique ou menace disproportionnée n'est ajouté au dossier.</w:t>
      </w:r>
    </w:p>
    <w:p>
      <w:pPr>
        <w:pStyle w:val="Corps"/>
      </w:pPr>
      <w:r>
        <w:t xml:space="preserve">Lorsque l'information disponible ne permet pas encore de chiffrer proprement un poste, la lettre demande les éléments nécessaires ou réserve le chiffrage au lieu de substituer une estimation arbitraire. Toute proposition transactionnelle éventuelle est identifiée comme telle et séparée du calcul du dommage allégué.</w:t>
      </w:r>
    </w:p>
    <w:p>
      <w:pPr>
        <w:pStyle w:val="Intertitre"/>
      </w:pPr>
      <w:r>
        <w:t xml:space="preserve">Réserve</w:t>
      </w:r>
    </w:p>
    <w:p>
      <w:pPr>
        <w:pStyle w:val="Corps"/>
      </w:pPr>
      <w:r>
        <w:t xml:space="preserve">À défaut de réponse complète, les suites seront choisies après vérification des droits, des preuves, des délais, de la compétence et de la proportionnalité. La lettre réserve notamment les mesures probatoires, conservatoires, de cessation et de réparation disponibles sans présenter leur obtention comme certaine ni imposer une renonciation anticipée.</w:t>
      </w:r>
    </w:p>
    <w:p>
      <w:pPr>
        <w:pStyle w:val="Intertitre"/>
      </w:pPr>
      <w:r>
        <w:t xml:space="preserve">Pièces</w:t>
      </w:r>
    </w:p>
    <w:p>
      <w:pPr>
        <w:pStyle w:val="Corps"/>
      </w:pPr>
      <w:r>
        <w:t xml:space="preserve">Le bordereau [Bordereau pièces] numérote les certificats ou relevés de titres, la chaîne de droits, les mandats, les constats, les captures, les achats-test, les comparaisons et les calculs invoqués. Chaque renvoi du corps correspond à une pièce effectivement jointe ou clairement identifiée comme restant à produire.</w:t>
      </w:r>
    </w:p>
    <w:p>
      <w:pPr>
        <w:pStyle w:val="Intertitre"/>
      </w:pPr>
      <w:r>
        <w:t xml:space="preserve">Signature</w:t>
      </w:r>
    </w:p>
    <w:p>
      <w:pPr>
        <w:pStyle w:val="Corps"/>
      </w:pPr>
      <w:r>
        <w:t xml:space="preserve">Fait à [Lieu signature], le [Date signature]. [Nom signataire] signe en qualité de [qualité signataire] ; son pouvoir ressort de [Preuve pouvoir signataire]. La copie conservée reprend le même texte, le même bordereau et les mêmes annexes que l'exemplaire envoyé, avec une preuve de dépôt et de réception.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