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POLITIQUE DE CONFIDENTIALITÉ</w:t>
      </w:r>
    </w:p>
    <w:p>
      <w:pPr>
        <w:pStyle w:val="Intertitre"/>
      </w:pPr>
      <w:r>
        <w:t xml:space="preserve">Responsable du traitement</w:t>
      </w:r>
    </w:p>
    <w:p>
      <w:pPr>
        <w:pStyle w:val="Corps"/>
      </w:pPr>
      <w:r>
        <w:t xml:space="preserve">Le responsable des traitements décrits dans la présente politique est [Identite responsable traitement], joignable à [Coordonnees responsable traitement]. Lorsqu'un représentant est requis ou désigné, il s'agit de [Representant responsable]. Ces mentions permettent d'identifier l'entité qui détermine les finalités et moyens des traitements; elles sont reproduites d'après les informations juridiques et coordonnées effectivement publiées. Lorsque plusieurs acteurs interviennent, la politique précise, d'après les accords applicables, s'ils agissent comme responsables distincts, responsables conjoints ou sous-traitants et indique le point de contact utile sans effacer leurs responsabilités respectives.</w:t>
      </w:r>
    </w:p>
    <w:p>
      <w:pPr>
        <w:pStyle w:val="Intertitre"/>
      </w:pPr>
      <w:r>
        <w:t xml:space="preserve">Clause optionnelle : Délégué à la protection des données</w:t>
      </w:r>
    </w:p>
    <w:p>
      <w:pPr>
        <w:pStyle w:val="Corps"/>
      </w:pPr>
      <w:r>
        <w:t xml:space="preserve">Le délégué à la protection des données, ou le contact spécialement chargé de ces demandes, peut être joint à [Coordonnees dpo]. Ce canal est destiné aux questions relatives aux traitements et à l'exercice des droits. La politique ne présente pas un simple service client comme délégué lorsque cette qualité n'est pas formellement établie.</w:t>
      </w:r>
    </w:p>
    <w:p>
      <w:pPr>
        <w:pStyle w:val="Intertitre"/>
      </w:pPr>
      <w:r>
        <w:t xml:space="preserve">Champ de la politique</w:t>
      </w:r>
    </w:p>
    <w:p>
      <w:pPr>
        <w:pStyle w:val="Corps"/>
      </w:pPr>
      <w:r>
        <w:t xml:space="preserve">Cette politique s'applique aux services, sites, applications, relations ou personnes décrits dans [périmètre politique]. Elle ne couvre pas [Exclusions politique], qui relèvent de responsables ou de notices distincts. Le périmètre est délimité afin que la personne concernée sache quels usages de ses données sont effectivement expliqués par le document. Les liens vers les politiques de tiers sont signalés comme tels. Une évolution de service n'entre dans ce champ qu'après vérification de ses traitements et mise à jour de la version publiée.</w:t>
      </w:r>
    </w:p>
    <w:p>
      <w:pPr>
        <w:pStyle w:val="Intertitre"/>
      </w:pPr>
      <w:r>
        <w:t xml:space="preserve">Quelle est l'origine des données ? — choisir une seule variante</w:t>
      </w:r>
    </w:p>
    <w:p>
      <w:pPr>
        <w:pStyle w:val="Variante"/>
      </w:pPr>
      <w:r>
        <w:t xml:space="preserve">Variante : Collecte directe</w:t>
      </w:r>
    </w:p>
    <w:p>
      <w:pPr>
        <w:pStyle w:val="Corps"/>
      </w:pPr>
      <w:r>
        <w:t xml:space="preserve">Les données fournies directement par la personne, les circonstances de leur collecte et leur caractère obligatoire ou facultatif sont détaillés dans [Matrice collecte directe]. Cette matrice distingue notamment les formulaires, comptes, commandes, échanges et demandes de support. Les conséquences d'une absence de fourniture sont précisées uniquement lorsqu'elles existent pour le traitement concerné.</w:t>
      </w:r>
    </w:p>
    <w:p>
      <w:pPr>
        <w:pStyle w:val="Variante"/>
      </w:pPr>
      <w:r>
        <w:t xml:space="preserve">Variante : Collecte indirecte</w:t>
      </w:r>
    </w:p>
    <w:p>
      <w:pPr>
        <w:pStyle w:val="Corps"/>
      </w:pPr>
      <w:r>
        <w:t xml:space="preserve">Lorsque les données ne sont pas obtenues auprès de la personne, leurs catégories, leurs sources et le caractère public ou privé de ces sources sont décrits dans [Matrice collecte indirecte]. La politique indique le contexte et le délai dans lequel l'information est fournie, sous réserve des exceptions légalement applicables et effectivement documentées.</w:t>
      </w:r>
    </w:p>
    <w:p>
      <w:pPr>
        <w:pStyle w:val="Variante"/>
      </w:pPr>
      <w:r>
        <w:t xml:space="preserve">Variante : Collectes directe et indirecte</w:t>
      </w:r>
    </w:p>
    <w:p>
      <w:pPr>
        <w:pStyle w:val="Corps"/>
      </w:pPr>
      <w:r>
        <w:t xml:space="preserve">Les collectes directes et indirectes sont distinguées traitement par traitement dans [Matrice collecte mixte]. Pour chacune, la matrice indique les catégories de données, la source, le point de contact ou l'événement de collecte et le moment où la personne reçoit l'information. Une source indirecte n'est pas masquée derrière une formule générale.</w:t>
      </w:r>
    </w:p>
    <w:p>
      <w:pPr>
        <w:pStyle w:val="Intertitre"/>
      </w:pPr>
      <w:r>
        <w:t xml:space="preserve">Finalités et bases légales</w:t>
      </w:r>
    </w:p>
    <w:p>
      <w:pPr>
        <w:pStyle w:val="Corps"/>
      </w:pPr>
      <w:r>
        <w:t xml:space="preserve">Les finalités, bases légales, catégories de données, personnes concernées et conséquences éventuelles d'un refus figurent dans [Matrice finalites bases]. Chaque finalité est formulée de manière déterminée et reliée à une base précise; une même mention ne regroupe pas artificiellement des usages incompatibles. Le consentement n'est indiqué que lorsqu'il est réellement recueilli et peut être retiré. La matrice permet également d'identifier les durées, destinataires et droits associés à chaque ligne, afin d'éviter que des informations dispersées rendent la relation entre le traitement et ses garanties incompréhensible.</w:t>
      </w:r>
    </w:p>
    <w:p>
      <w:pPr>
        <w:pStyle w:val="Intertitre"/>
      </w:pPr>
      <w:r>
        <w:t xml:space="preserve">Clause optionnelle : Intérêts légitimes</w:t>
      </w:r>
    </w:p>
    <w:p>
      <w:pPr>
        <w:pStyle w:val="Corps"/>
      </w:pPr>
      <w:r>
        <w:t xml:space="preserve">Pour les traitements fondés sur l'intérêt légitime, les intérêts poursuivis, leur nécessité et la mise en balance avec les droits des personnes sont résumés dans [Analyse interets legitimes]. Cette analyse tient compte des attentes raisonnables, de la nature des données et des mesures de limitation. Elle ne remplace pas l'analyse interne complète conservée par le responsable.</w:t>
      </w:r>
    </w:p>
    <w:p>
      <w:pPr>
        <w:pStyle w:val="Intertitre"/>
      </w:pPr>
      <w:r>
        <w:t xml:space="preserve">Destinataires</w:t>
      </w:r>
    </w:p>
    <w:p>
      <w:pPr>
        <w:pStyle w:val="Corps"/>
      </w:pPr>
      <w:r>
        <w:t xml:space="preserve">Les destinataires ou catégories de destinataires, leur rôle et les finalités de leurs accès sont présentés dans [Matrice destinataires]. La politique distingue les services habilités, sous-traitants, partenaires indépendants et autorités lorsque cette distinction est pertinente. Elle n'affirme pas un partage systématique lorsque la communication n'est qu'éventuelle ou légalement requise. Les accès internes sont limités aux fonctions qui en ont besoin et les interventions des prestataires sont décrites par catégories suffisamment précises. Une vente ou transmission d'activité n'est mentionnée que comme hypothèse encadrée lorsqu'elle est réellement envisagée.</w:t>
      </w:r>
    </w:p>
    <w:p>
      <w:pPr>
        <w:pStyle w:val="Intertitre"/>
      </w:pPr>
      <w:r>
        <w:t xml:space="preserve">Clause optionnelle : Transferts hors Espace économique européen</w:t>
      </w:r>
    </w:p>
    <w:p>
      <w:pPr>
        <w:pStyle w:val="Corps"/>
      </w:pPr>
      <w:r>
        <w:t xml:space="preserve">Les pays ou organisations destinataires hors de l'Espace économique européen, le mécanisme de transfert et les garanties applicables sont indiqués dans [Matrice transferts garanties]. La personne est informée du moyen d'obtenir une copie ou une description utile de ces garanties. Aucun niveau de protection adéquat n'est affirmé sans décision ou mécanisme effectivement applicable.</w:t>
      </w:r>
    </w:p>
    <w:p>
      <w:pPr>
        <w:pStyle w:val="Intertitre"/>
      </w:pPr>
      <w:r>
        <w:t xml:space="preserve">Durées de conservation</w:t>
      </w:r>
    </w:p>
    <w:p>
      <w:pPr>
        <w:pStyle w:val="Corps"/>
      </w:pPr>
      <w:r>
        <w:t xml:space="preserve">Les durées de conservation ou, lorsqu'une durée fixe n'est pas possible, leurs critères de détermination sont détaillés dans [Matrice durees conservation]. Elles sont définies par finalité et distinguent la base active, l'archivage intermédiaire et l'effacement ou l'anonymisation. Une obligation légale ou un besoin probatoire est rattaché au traitement qu'il prolonge. Les sauvegardes et journaux techniques suivent une politique compatible avec ces échéances. À leur terme, les données sont supprimées, restituées ou rendues anonymes suivant une méthode qui ne permet plus de rattacher les informations à une personne.</w:t>
      </w:r>
    </w:p>
    <w:p>
      <w:pPr>
        <w:pStyle w:val="Intertitre"/>
      </w:pPr>
      <w:r>
        <w:t xml:space="preserve">Droits des personnes</w:t>
      </w:r>
    </w:p>
    <w:p>
      <w:pPr>
        <w:pStyle w:val="Corps"/>
      </w:pPr>
      <w:r>
        <w:t xml:space="preserve">Les droits applicables à chaque traitement, leurs éventuelles limites et les conditions d'opposition sont synthétisés dans [Matrice droits personnes]. La demande peut être exercée selon [Procedure exercice droits], qui précise le canal, les informations utiles, la vérification proportionnée de l'identité et les délais de réponse. Aucune pièce d'identité n'est exigée systématiquement sans nécessité. Le responsable indique les motifs d'une limitation ou d'un refus et les voies de réclamation. Les demandes et réponses sont tracées sans conserver au-delà du nécessaire les justificatifs transmis pour contrôler l'identité ou le mandat du demandeur.</w:t>
      </w:r>
    </w:p>
    <w:p>
      <w:pPr>
        <w:pStyle w:val="Intertitre"/>
      </w:pPr>
      <w:r>
        <w:t xml:space="preserve">Réclamation</w:t>
      </w:r>
    </w:p>
    <w:p>
      <w:pPr>
        <w:pStyle w:val="Corps"/>
      </w:pPr>
      <w:r>
        <w:t xml:space="preserve">Sans préjudice d'un recours auprès du responsable, la personne peut introduire une réclamation auprès de l'autorité de contrôle compétente selon [Informations reclamation cnil]. Les coordonnées et le lien fournis sont tenus à jour. Cette faculté n'est pas présentée comme subordonnée à une réclamation préalable auprès du responsable. En France, la Commission nationale de l'informatique et des libertés peut être saisie selon les modalités qu'elle publie. Pour un traitement transfrontalier, l'autorité compétente est déterminée selon les règles applicables et non choisie arbitrairement.</w:t>
      </w:r>
    </w:p>
    <w:p>
      <w:pPr>
        <w:pStyle w:val="Intertitre"/>
      </w:pPr>
      <w:r>
        <w:t xml:space="preserve">Clause optionnelle : Décision automatisée</w:t>
      </w:r>
    </w:p>
    <w:p>
      <w:pPr>
        <w:pStyle w:val="Corps"/>
      </w:pPr>
      <w:r>
        <w:t xml:space="preserve">Lorsqu'une décision fondée exclusivement sur un traitement automatisé produit des effets juridiques ou affecte significativement la personne, les informations utiles figurent dans [Informations decision automatisee]. Elles couvrent l'existence du traitement, une explication intelligible de sa logique, son importance, ses conséquences et les moyens de demander une intervention humaine ou de contester la décision.</w:t>
      </w:r>
    </w:p>
    <w:p>
      <w:pPr>
        <w:pStyle w:val="Intertitre"/>
      </w:pPr>
      <w:r>
        <w:t xml:space="preserve">Clause optionnelle : Personnes mineures</w:t>
      </w:r>
    </w:p>
    <w:p>
      <w:pPr>
        <w:pStyle w:val="Corps"/>
      </w:pPr>
      <w:r>
        <w:t xml:space="preserve">Les traitements concernant des personnes mineures et les mesures adaptées à leur compréhension sont décrits dans [Mesures personnes mineures]. Lorsque le consentement constitue la base du service concerné, l'âge applicable et, si nécessaire, l'autorisation du titulaire de l'autorité parentale sont vérifiés. La politique évite de collecter des données supplémentaires uniquement pour présumer l'âge.</w:t>
      </w:r>
    </w:p>
    <w:p>
      <w:pPr>
        <w:pStyle w:val="Intertitre"/>
      </w:pPr>
      <w:r>
        <w:t xml:space="preserve">Sécurité</w:t>
      </w:r>
    </w:p>
    <w:p>
      <w:pPr>
        <w:pStyle w:val="Corps"/>
      </w:pPr>
      <w:r>
        <w:t xml:space="preserve">Le responsable met en œuvre les catégories de mesures organisationnelles et techniques résumées dans [Synthese mesures sécurité], en tenant compte des risques et sans divulguer d'informations compromettant leur efficacité. Les incidents et violations sont qualifiés, documentés et traités selon [Procedure violation données], y compris l'évaluation des notifications requises. L'accès est limité selon les habilitations, les prestataires sont encadrés et la continuité, la restauration et l'évaluation régulière des mesures sont adaptées au contexte. La politique décrit ces principes sans promettre une sécurité absolue.</w:t>
      </w:r>
    </w:p>
    <w:p>
      <w:pPr>
        <w:pStyle w:val="Intertitre"/>
      </w:pPr>
      <w:r>
        <w:t xml:space="preserve">Clause optionnelle : Traceurs</w:t>
      </w:r>
    </w:p>
    <w:p>
      <w:pPr>
        <w:pStyle w:val="Corps"/>
      </w:pPr>
      <w:r>
        <w:t xml:space="preserve">Les traceurs utilisés, leurs finalités, fournisseurs, durées et régimes de consentement sont présentés dans [Politique traceurs]. Les traceurs non strictement nécessaires ne sont déposés qu'après le choix requis; le refus doit être aussi accessible que l'acceptation et le retrait rester possible. La preuve et la durée de conservation du choix sont organisées.</w:t>
      </w:r>
    </w:p>
    <w:p>
      <w:pPr>
        <w:pStyle w:val="Intertitre"/>
      </w:pPr>
      <w:r>
        <w:t xml:space="preserve">Mise à jour</w:t>
      </w:r>
    </w:p>
    <w:p>
      <w:pPr>
        <w:pStyle w:val="Corps"/>
      </w:pPr>
      <w:r>
        <w:t xml:space="preserve">La présente version est datée du [Date version politique]. Les modifications substantielles affectant les finalités, bases, destinataires ou droits sont portées à la connaissance des personnes selon [Procedure information mise a jour] avant leur prise d'effet lorsque cela est nécessaire. Les versions antérieures et la date d'entrée en vigueur sont conservées pour la traçabilité. La date affichée ne doit pas être une date automatique de consultation. Une modification de pure forme est distinguée d'un changement nécessitant une nouvelle information ou, lorsque la base l'exige, un nouveau consentement.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